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25C4" w14:textId="6EEE6E6E" w:rsidR="00592C25" w:rsidRPr="00984B42" w:rsidRDefault="00592C25" w:rsidP="00592C25">
      <w:pPr>
        <w:spacing w:after="120" w:line="252" w:lineRule="atLeast"/>
        <w:outlineLvl w:val="0"/>
        <w:rPr>
          <w:rFonts w:ascii="Helvetica" w:eastAsia="Times New Roman" w:hAnsi="Helvetica" w:cs="Times New Roman"/>
          <w:color w:val="DA3910"/>
          <w:kern w:val="36"/>
          <w:sz w:val="10"/>
          <w:szCs w:val="10"/>
          <w:lang w:val="de-DE" w:eastAsia="en-GB"/>
        </w:rPr>
      </w:pPr>
      <w:r>
        <w:rPr>
          <w:noProof/>
        </w:rPr>
        <w:drawing>
          <wp:anchor distT="0" distB="0" distL="114300" distR="114300" simplePos="0" relativeHeight="251659264" behindDoc="1" locked="0" layoutInCell="1" allowOverlap="1" wp14:anchorId="388447B1" wp14:editId="046ACD4A">
            <wp:simplePos x="0" y="0"/>
            <wp:positionH relativeFrom="column">
              <wp:posOffset>3892182</wp:posOffset>
            </wp:positionH>
            <wp:positionV relativeFrom="paragraph">
              <wp:posOffset>-52257</wp:posOffset>
            </wp:positionV>
            <wp:extent cx="1924050" cy="844550"/>
            <wp:effectExtent l="0" t="0" r="0" b="6350"/>
            <wp:wrapNone/>
            <wp:docPr id="9" name="Picture 9"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4050" cy="844550"/>
                    </a:xfrm>
                    <a:prstGeom prst="rect">
                      <a:avLst/>
                    </a:prstGeom>
                  </pic:spPr>
                </pic:pic>
              </a:graphicData>
            </a:graphic>
            <wp14:sizeRelH relativeFrom="page">
              <wp14:pctWidth>0</wp14:pctWidth>
            </wp14:sizeRelH>
            <wp14:sizeRelV relativeFrom="page">
              <wp14:pctHeight>0</wp14:pctHeight>
            </wp14:sizeRelV>
          </wp:anchor>
        </w:drawing>
      </w:r>
      <w:r w:rsidRPr="00984B42">
        <w:rPr>
          <w:rFonts w:ascii="Times New Roman" w:eastAsia="Times New Roman" w:hAnsi="Times New Roman" w:cs="Times New Roman"/>
          <w:noProof/>
          <w:lang w:eastAsia="en-GB"/>
        </w:rPr>
        <w:drawing>
          <wp:anchor distT="0" distB="0" distL="114300" distR="114300" simplePos="0" relativeHeight="251661312" behindDoc="1" locked="0" layoutInCell="1" allowOverlap="1" wp14:anchorId="4FB36F19" wp14:editId="62CA42A0">
            <wp:simplePos x="0" y="0"/>
            <wp:positionH relativeFrom="column">
              <wp:posOffset>701</wp:posOffset>
            </wp:positionH>
            <wp:positionV relativeFrom="paragraph">
              <wp:posOffset>6645</wp:posOffset>
            </wp:positionV>
            <wp:extent cx="1052880" cy="786691"/>
            <wp:effectExtent l="0" t="0" r="1270" b="1270"/>
            <wp:wrapNone/>
            <wp:docPr id="10" name="Picture 10" descr="Ce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ri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880" cy="7866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CD1D5" w14:textId="77777777" w:rsidR="00592C25" w:rsidRDefault="00592C25" w:rsidP="00592C25">
      <w:pPr>
        <w:spacing w:after="120" w:line="252" w:lineRule="atLeast"/>
        <w:outlineLvl w:val="0"/>
        <w:rPr>
          <w:rFonts w:ascii="Helvetica" w:eastAsia="Times New Roman" w:hAnsi="Helvetica" w:cs="Times New Roman"/>
          <w:color w:val="DA3910"/>
          <w:kern w:val="36"/>
          <w:sz w:val="53"/>
          <w:szCs w:val="53"/>
          <w:lang w:val="de-DE" w:eastAsia="en-GB"/>
        </w:rPr>
      </w:pPr>
    </w:p>
    <w:p w14:paraId="350A94FF" w14:textId="77777777" w:rsidR="00592C25" w:rsidRDefault="00592C25" w:rsidP="00592C25">
      <w:pPr>
        <w:spacing w:after="120" w:line="252" w:lineRule="atLeast"/>
        <w:jc w:val="center"/>
        <w:outlineLvl w:val="0"/>
        <w:rPr>
          <w:rFonts w:ascii="Helvetica" w:eastAsia="Times New Roman" w:hAnsi="Helvetica" w:cs="Times New Roman"/>
          <w:color w:val="DA3910"/>
          <w:kern w:val="36"/>
          <w:sz w:val="53"/>
          <w:szCs w:val="53"/>
          <w:lang w:eastAsia="en-GB"/>
        </w:rPr>
      </w:pPr>
    </w:p>
    <w:p w14:paraId="2CB6A0AA" w14:textId="3233917A" w:rsidR="00592C25" w:rsidRPr="00592C25" w:rsidRDefault="00592C25" w:rsidP="00592C25">
      <w:pPr>
        <w:spacing w:after="120" w:line="252" w:lineRule="atLeast"/>
        <w:jc w:val="center"/>
        <w:outlineLvl w:val="0"/>
        <w:rPr>
          <w:rFonts w:ascii="Helvetica" w:eastAsia="Times New Roman" w:hAnsi="Helvetica" w:cs="Times New Roman"/>
          <w:color w:val="DA3910"/>
          <w:kern w:val="36"/>
          <w:sz w:val="53"/>
          <w:szCs w:val="53"/>
          <w:lang w:val="de-DE" w:eastAsia="en-GB"/>
        </w:rPr>
      </w:pPr>
      <w:r>
        <w:rPr>
          <w:rFonts w:ascii="Helvetica" w:eastAsia="Times New Roman" w:hAnsi="Helvetica" w:cs="Times New Roman"/>
          <w:color w:val="DA3910"/>
          <w:kern w:val="36"/>
          <w:sz w:val="53"/>
          <w:szCs w:val="53"/>
          <w:lang w:val="de-DE" w:eastAsia="en-GB"/>
        </w:rPr>
        <w:t>CHANCE Policy Brief</w:t>
      </w:r>
    </w:p>
    <w:p w14:paraId="4D3D0780" w14:textId="77777777" w:rsidR="00592C25" w:rsidRDefault="00592C25" w:rsidP="00E442A5">
      <w:pPr>
        <w:jc w:val="center"/>
        <w:rPr>
          <w:b/>
          <w:bCs/>
        </w:rPr>
      </w:pPr>
    </w:p>
    <w:p w14:paraId="21199844" w14:textId="77777777" w:rsidR="00592C25" w:rsidRDefault="00592C25" w:rsidP="00E442A5">
      <w:pPr>
        <w:jc w:val="center"/>
        <w:rPr>
          <w:b/>
          <w:bCs/>
        </w:rPr>
      </w:pPr>
    </w:p>
    <w:p w14:paraId="2F0F1B33" w14:textId="3955869A" w:rsidR="00EA324F" w:rsidRDefault="0027245F" w:rsidP="00E442A5">
      <w:pPr>
        <w:jc w:val="center"/>
        <w:rPr>
          <w:b/>
          <w:bCs/>
        </w:rPr>
      </w:pPr>
      <w:r w:rsidRPr="0027245F">
        <w:rPr>
          <w:b/>
          <w:bCs/>
        </w:rPr>
        <w:t>Taking stock of the EU's actions towards Ukraine since the Russian invasion:</w:t>
      </w:r>
    </w:p>
    <w:p w14:paraId="633848C5" w14:textId="7193359D" w:rsidR="0027245F" w:rsidRDefault="005456A5" w:rsidP="00E442A5">
      <w:pPr>
        <w:jc w:val="center"/>
        <w:rPr>
          <w:b/>
          <w:bCs/>
          <w:lang/>
        </w:rPr>
      </w:pPr>
      <w:r>
        <w:rPr>
          <w:b/>
          <w:bCs/>
        </w:rPr>
        <w:t>The difficult transition</w:t>
      </w:r>
      <w:r w:rsidR="0027245F" w:rsidRPr="0027245F">
        <w:rPr>
          <w:b/>
          <w:bCs/>
          <w:lang/>
        </w:rPr>
        <w:t xml:space="preserve"> from crisis response to longer-term strategy</w:t>
      </w:r>
    </w:p>
    <w:p w14:paraId="377CA9D1" w14:textId="448B926A" w:rsidR="00EA324F" w:rsidRDefault="00EA324F" w:rsidP="00E442A5">
      <w:pPr>
        <w:jc w:val="center"/>
        <w:rPr>
          <w:b/>
          <w:bCs/>
          <w:lang/>
        </w:rPr>
      </w:pPr>
    </w:p>
    <w:p w14:paraId="397CBE08" w14:textId="2627F85F" w:rsidR="00EA324F" w:rsidRPr="00592C25" w:rsidRDefault="00EA324F" w:rsidP="00E442A5">
      <w:pPr>
        <w:jc w:val="center"/>
        <w:rPr>
          <w:b/>
          <w:bCs/>
          <w:i/>
          <w:iCs/>
          <w:lang w:val="en-US"/>
        </w:rPr>
      </w:pPr>
      <w:r w:rsidRPr="00592C25">
        <w:rPr>
          <w:b/>
          <w:bCs/>
          <w:i/>
          <w:iCs/>
          <w:lang w:val="en-US"/>
        </w:rPr>
        <w:t xml:space="preserve">Giselle </w:t>
      </w:r>
      <w:proofErr w:type="spellStart"/>
      <w:r w:rsidRPr="00592C25">
        <w:rPr>
          <w:b/>
          <w:bCs/>
          <w:i/>
          <w:iCs/>
          <w:lang w:val="en-US"/>
        </w:rPr>
        <w:t>Bosse</w:t>
      </w:r>
      <w:proofErr w:type="spellEnd"/>
    </w:p>
    <w:p w14:paraId="65504C42" w14:textId="115D9BEF" w:rsidR="00000000" w:rsidRDefault="00000000" w:rsidP="006F4CCA">
      <w:pPr>
        <w:jc w:val="both"/>
        <w:rPr>
          <w:lang/>
        </w:rPr>
      </w:pPr>
    </w:p>
    <w:p w14:paraId="4AD7F12F" w14:textId="77777777" w:rsidR="00664D09" w:rsidRDefault="00664D09" w:rsidP="006F4CCA">
      <w:pPr>
        <w:jc w:val="both"/>
        <w:rPr>
          <w:lang/>
        </w:rPr>
      </w:pPr>
    </w:p>
    <w:p w14:paraId="4CDC8716" w14:textId="4F1A0502" w:rsidR="00814061" w:rsidRPr="00F43F17" w:rsidRDefault="00F43F17" w:rsidP="006F4CCA">
      <w:pPr>
        <w:jc w:val="both"/>
        <w:rPr>
          <w:lang w:val="en-US"/>
        </w:rPr>
      </w:pPr>
      <w:r w:rsidRPr="00F43F17">
        <w:rPr>
          <w:lang/>
        </w:rPr>
        <w:t>The EU’s response to the 2022 Russian war against Ukraine has been widely described as unprecedented in scope and unexpected speed, displaying a rare unity among its member states</w:t>
      </w:r>
      <w:r w:rsidRPr="00F43F17">
        <w:rPr>
          <w:lang w:val="en-US"/>
        </w:rPr>
        <w:t xml:space="preserve">. </w:t>
      </w:r>
      <w:r>
        <w:rPr>
          <w:lang w:val="en-US"/>
        </w:rPr>
        <w:t>One year on, and without an end to the Russia's war in sight, the question arises how well the EU has fared in transitioning from its remarkable 'crisis response' to developing longer-term strategies to support Ukraine. This article reviews the EU's actions towards Ukraine in four main areas: (a) the integration of refugees from Ukraine, (b) Ukraine's accession to the EU, (c) EU military and financial aid to Ukraine and (d) the effectiveness of EU sanctions.</w:t>
      </w:r>
      <w:r w:rsidR="00043EE3">
        <w:rPr>
          <w:lang w:val="en-US"/>
        </w:rPr>
        <w:t xml:space="preserve"> While the EU has written history with its initial response to the Russian invasion, it currently struggles to find longer-term strategies to address the effects of the war, and the serious geopolitical challenges arising from it.</w:t>
      </w:r>
    </w:p>
    <w:p w14:paraId="38E22BBA" w14:textId="77777777" w:rsidR="00E442A5" w:rsidRDefault="00E442A5" w:rsidP="006F4CCA">
      <w:pPr>
        <w:jc w:val="both"/>
        <w:rPr>
          <w:lang w:val="en-US"/>
        </w:rPr>
      </w:pPr>
    </w:p>
    <w:p w14:paraId="6B85F2DF" w14:textId="0355FC2E" w:rsidR="00F43F17" w:rsidRPr="00814061" w:rsidRDefault="00F43F17" w:rsidP="00F43F17">
      <w:pPr>
        <w:jc w:val="both"/>
        <w:rPr>
          <w:b/>
          <w:bCs/>
          <w:lang w:val="en-US"/>
        </w:rPr>
      </w:pPr>
      <w:r>
        <w:rPr>
          <w:b/>
          <w:bCs/>
          <w:lang w:val="en-US"/>
        </w:rPr>
        <w:t xml:space="preserve">(a) </w:t>
      </w:r>
      <w:r w:rsidRPr="00814061">
        <w:rPr>
          <w:b/>
          <w:bCs/>
          <w:lang w:val="en-US"/>
        </w:rPr>
        <w:t xml:space="preserve">Ukrainian refugees: </w:t>
      </w:r>
      <w:r>
        <w:rPr>
          <w:b/>
          <w:bCs/>
          <w:lang w:val="en-US"/>
        </w:rPr>
        <w:t>F</w:t>
      </w:r>
      <w:r w:rsidRPr="00814061">
        <w:rPr>
          <w:b/>
          <w:bCs/>
          <w:lang w:val="en-US"/>
        </w:rPr>
        <w:t>rom humanitarian support to longer-term integration strategies</w:t>
      </w:r>
    </w:p>
    <w:p w14:paraId="0CC353CB" w14:textId="77777777" w:rsidR="00F43F17" w:rsidRDefault="00F43F17" w:rsidP="00F43F17">
      <w:pPr>
        <w:jc w:val="both"/>
        <w:rPr>
          <w:lang/>
        </w:rPr>
      </w:pPr>
    </w:p>
    <w:p w14:paraId="3C72531C" w14:textId="6218CBEE" w:rsidR="00F43F17" w:rsidRPr="007D6FF2" w:rsidRDefault="00F43F17" w:rsidP="00F43F17">
      <w:pPr>
        <w:jc w:val="both"/>
        <w:rPr>
          <w:lang/>
        </w:rPr>
      </w:pPr>
      <w:r w:rsidRPr="00EB5BBB">
        <w:rPr>
          <w:lang/>
        </w:rPr>
        <w:t>Almost 8 million refugees have fled Ukraine since Russia’s invasion in February</w:t>
      </w:r>
      <w:r w:rsidRPr="00392F11">
        <w:rPr>
          <w:lang w:val="en-US"/>
        </w:rPr>
        <w:t>.</w:t>
      </w:r>
      <w:r w:rsidRPr="00EB5BBB">
        <w:rPr>
          <w:lang/>
        </w:rPr>
        <w:t xml:space="preserve"> </w:t>
      </w:r>
      <w:r w:rsidRPr="00392F11">
        <w:rPr>
          <w:lang w:val="en-US"/>
        </w:rPr>
        <w:t>The EU</w:t>
      </w:r>
      <w:r w:rsidRPr="00EB5BBB">
        <w:rPr>
          <w:lang/>
        </w:rPr>
        <w:t xml:space="preserve"> reacted with swift and decisive support</w:t>
      </w:r>
      <w:r w:rsidRPr="006F4CCA">
        <w:rPr>
          <w:lang w:val="en-US"/>
        </w:rPr>
        <w:t>. It has</w:t>
      </w:r>
      <w:r w:rsidRPr="00EB5BBB">
        <w:rPr>
          <w:lang/>
        </w:rPr>
        <w:t xml:space="preserve"> </w:t>
      </w:r>
      <w:r w:rsidRPr="00814061">
        <w:rPr>
          <w:lang w:val="en-US"/>
        </w:rPr>
        <w:t xml:space="preserve">offered </w:t>
      </w:r>
      <w:r w:rsidRPr="00EB5BBB">
        <w:rPr>
          <w:lang/>
        </w:rPr>
        <w:t>residency rights, work permits, and access to health care, schools, housing and banking services.</w:t>
      </w:r>
      <w:r w:rsidRPr="00EB5BBB">
        <w:rPr>
          <w:lang w:val="en-US"/>
        </w:rPr>
        <w:t xml:space="preserve"> In October 2022, the European Commission extended the </w:t>
      </w:r>
      <w:hyperlink r:id="rId8" w:history="1">
        <w:r w:rsidRPr="00A43E92">
          <w:rPr>
            <w:rStyle w:val="Hyperlink"/>
            <w:lang w:val="en-US"/>
          </w:rPr>
          <w:t>Temporary Protection Directive</w:t>
        </w:r>
      </w:hyperlink>
      <w:r w:rsidRPr="00EB5BBB">
        <w:rPr>
          <w:lang w:val="en-US"/>
        </w:rPr>
        <w:t xml:space="preserve"> until 4 March 2024. </w:t>
      </w:r>
      <w:r>
        <w:rPr>
          <w:lang w:val="en-US"/>
        </w:rPr>
        <w:t xml:space="preserve">However, </w:t>
      </w:r>
      <w:r w:rsidRPr="00EB5BBB">
        <w:rPr>
          <w:lang w:val="en-US"/>
        </w:rPr>
        <w:t xml:space="preserve">disproportionate pressure </w:t>
      </w:r>
      <w:r>
        <w:rPr>
          <w:lang w:val="en-US"/>
        </w:rPr>
        <w:t xml:space="preserve">is </w:t>
      </w:r>
      <w:r w:rsidRPr="00EB5BBB">
        <w:rPr>
          <w:lang w:val="en-US"/>
        </w:rPr>
        <w:t>put on the reception and integration capacity of a handful of EU countries may become a crucial challenge for implementing temporary protection. Poland</w:t>
      </w:r>
      <w:r>
        <w:rPr>
          <w:lang w:val="en-US"/>
        </w:rPr>
        <w:t xml:space="preserve">, </w:t>
      </w:r>
      <w:r w:rsidRPr="00EB5BBB">
        <w:rPr>
          <w:lang w:val="en-US"/>
        </w:rPr>
        <w:t>Germany</w:t>
      </w:r>
      <w:r>
        <w:rPr>
          <w:lang w:val="en-US"/>
        </w:rPr>
        <w:t xml:space="preserve">, </w:t>
      </w:r>
      <w:r w:rsidRPr="00EB5BBB">
        <w:rPr>
          <w:lang w:val="en-US"/>
        </w:rPr>
        <w:t>and the Czech Republic have so far registered the most refugees for temporary protection</w:t>
      </w:r>
      <w:r>
        <w:rPr>
          <w:lang w:val="en-US"/>
        </w:rPr>
        <w:t>. P</w:t>
      </w:r>
      <w:r w:rsidRPr="00EB5BBB">
        <w:rPr>
          <w:lang w:val="en-US"/>
        </w:rPr>
        <w:t>ressure on reception and integration capacities is likely to increase as refugees are unable to return home on a permanent basis</w:t>
      </w:r>
      <w:r>
        <w:rPr>
          <w:lang w:val="en-US"/>
        </w:rPr>
        <w:t xml:space="preserve">. </w:t>
      </w:r>
      <w:r w:rsidRPr="00EB5BBB">
        <w:rPr>
          <w:lang/>
        </w:rPr>
        <w:t xml:space="preserve">Europe </w:t>
      </w:r>
      <w:r w:rsidRPr="0027245F">
        <w:rPr>
          <w:lang w:val="en-US"/>
        </w:rPr>
        <w:t>should</w:t>
      </w:r>
      <w:r w:rsidRPr="00EB5BBB">
        <w:rPr>
          <w:lang/>
        </w:rPr>
        <w:t xml:space="preserve"> do more to help integrate refugees into its societies and economies</w:t>
      </w:r>
      <w:r w:rsidRPr="0027245F">
        <w:rPr>
          <w:lang w:val="en-US"/>
        </w:rPr>
        <w:t>, which implies transitioning from crisis response to longer-term strategy</w:t>
      </w:r>
      <w:r>
        <w:rPr>
          <w:lang w:val="en-US"/>
        </w:rPr>
        <w:t xml:space="preserve">. </w:t>
      </w:r>
      <w:r w:rsidRPr="0027245F">
        <w:rPr>
          <w:lang w:val="en-US"/>
        </w:rPr>
        <w:t>It wou</w:t>
      </w:r>
      <w:r>
        <w:rPr>
          <w:lang w:val="en-US"/>
        </w:rPr>
        <w:t>ld, for example, be important</w:t>
      </w:r>
      <w:r w:rsidRPr="0027245F">
        <w:rPr>
          <w:lang/>
        </w:rPr>
        <w:t xml:space="preserve"> </w:t>
      </w:r>
      <w:r w:rsidRPr="0027245F">
        <w:rPr>
          <w:lang w:val="en-US"/>
        </w:rPr>
        <w:t>to</w:t>
      </w:r>
      <w:r>
        <w:rPr>
          <w:lang w:val="en-US"/>
        </w:rPr>
        <w:t xml:space="preserve"> </w:t>
      </w:r>
      <w:r w:rsidRPr="0027245F">
        <w:rPr>
          <w:lang/>
        </w:rPr>
        <w:t>invest in state capacity to provide adequate housing, schooling, language training and employment opportunities for refugees</w:t>
      </w:r>
      <w:r w:rsidRPr="0027245F">
        <w:rPr>
          <w:lang w:val="en-US"/>
        </w:rPr>
        <w:t>, as well as comprehensive childcare offers</w:t>
      </w:r>
      <w:r>
        <w:rPr>
          <w:lang w:val="en-US"/>
        </w:rPr>
        <w:t>.</w:t>
      </w:r>
      <w:r w:rsidRPr="0027245F">
        <w:rPr>
          <w:lang w:val="en-US"/>
        </w:rPr>
        <w:t xml:space="preserve"> </w:t>
      </w:r>
      <w:r w:rsidRPr="00EB5BBB">
        <w:rPr>
          <w:lang w:val="en-US"/>
        </w:rPr>
        <w:t xml:space="preserve">Active labor market policies, which so far have been used to varying degrees, </w:t>
      </w:r>
      <w:r>
        <w:rPr>
          <w:lang w:val="en-US"/>
        </w:rPr>
        <w:t xml:space="preserve">should </w:t>
      </w:r>
      <w:r w:rsidRPr="00EB5BBB">
        <w:rPr>
          <w:lang w:val="en-US"/>
        </w:rPr>
        <w:t>become more tailored to enhance refugees’ skills and labor market success</w:t>
      </w:r>
      <w:r>
        <w:rPr>
          <w:lang w:val="en-US"/>
        </w:rPr>
        <w:t xml:space="preserve">, including </w:t>
      </w:r>
      <w:r w:rsidRPr="00EB5BBB">
        <w:rPr>
          <w:lang w:val="en-US"/>
        </w:rPr>
        <w:t>the recognition of qualifications, language training, and job search and matching services.</w:t>
      </w:r>
      <w:r>
        <w:rPr>
          <w:lang w:val="en-US"/>
        </w:rPr>
        <w:t xml:space="preserve"> The </w:t>
      </w:r>
      <w:r w:rsidRPr="0027245F">
        <w:rPr>
          <w:lang w:val="en-US"/>
        </w:rPr>
        <w:t xml:space="preserve">Commission </w:t>
      </w:r>
      <w:r>
        <w:rPr>
          <w:lang w:val="en-US"/>
        </w:rPr>
        <w:t xml:space="preserve">should </w:t>
      </w:r>
      <w:r w:rsidRPr="0027245F">
        <w:rPr>
          <w:lang w:val="en-US"/>
        </w:rPr>
        <w:t xml:space="preserve">prepare for longer-term </w:t>
      </w:r>
      <w:r>
        <w:rPr>
          <w:lang w:val="en-US"/>
        </w:rPr>
        <w:t xml:space="preserve">financial </w:t>
      </w:r>
      <w:r w:rsidRPr="0027245F">
        <w:rPr>
          <w:lang w:val="en-US"/>
        </w:rPr>
        <w:t>support for member states’ efforts to host Ukrainian refugees</w:t>
      </w:r>
      <w:r>
        <w:rPr>
          <w:lang w:val="en-US"/>
        </w:rPr>
        <w:t xml:space="preserve">, beyond the current focus on </w:t>
      </w:r>
      <w:r>
        <w:rPr>
          <w:lang w:val="en-US"/>
        </w:rPr>
        <w:lastRenderedPageBreak/>
        <w:t>offering i</w:t>
      </w:r>
      <w:r w:rsidRPr="0027245F">
        <w:rPr>
          <w:lang w:val="en-US"/>
        </w:rPr>
        <w:t>mmediate humanitarian support</w:t>
      </w:r>
      <w:r>
        <w:rPr>
          <w:lang w:val="en-US"/>
        </w:rPr>
        <w:t xml:space="preserve">. Moreover, the EU should revise </w:t>
      </w:r>
      <w:r w:rsidRPr="007D6FF2">
        <w:rPr>
          <w:lang w:val="en-US"/>
        </w:rPr>
        <w:t xml:space="preserve">its recently proposed amendment to the </w:t>
      </w:r>
      <w:hyperlink r:id="rId9" w:history="1">
        <w:r w:rsidRPr="00BE75A6">
          <w:rPr>
            <w:rStyle w:val="Hyperlink"/>
            <w:lang w:val="en-US"/>
          </w:rPr>
          <w:t>Long-term Residence Directive</w:t>
        </w:r>
      </w:hyperlink>
      <w:r w:rsidRPr="007D6FF2">
        <w:rPr>
          <w:lang w:val="en-US"/>
        </w:rPr>
        <w:t xml:space="preserve"> by waiving the exemption for those benefitting from temporary protection</w:t>
      </w:r>
      <w:r>
        <w:rPr>
          <w:lang w:val="en-US"/>
        </w:rPr>
        <w:t xml:space="preserve">, allowing refugees from Ukraine to obtain </w:t>
      </w:r>
      <w:r w:rsidRPr="007D6FF2">
        <w:rPr>
          <w:lang w:val="en-US"/>
        </w:rPr>
        <w:t>regular residence status</w:t>
      </w:r>
      <w:r>
        <w:rPr>
          <w:lang w:val="en-US"/>
        </w:rPr>
        <w:t>.</w:t>
      </w:r>
    </w:p>
    <w:p w14:paraId="0F94CF73" w14:textId="5AE7277F" w:rsidR="00E442A5" w:rsidRPr="00F43F17" w:rsidRDefault="00E442A5" w:rsidP="006F4CCA">
      <w:pPr>
        <w:jc w:val="both"/>
        <w:rPr>
          <w:lang/>
        </w:rPr>
      </w:pPr>
    </w:p>
    <w:p w14:paraId="174EB0FC" w14:textId="5142AAEF" w:rsidR="00F43F17" w:rsidRPr="004D3F94" w:rsidRDefault="00F43F17" w:rsidP="00F43F17">
      <w:pPr>
        <w:jc w:val="both"/>
        <w:rPr>
          <w:b/>
          <w:bCs/>
          <w:lang w:val="en-US"/>
        </w:rPr>
      </w:pPr>
      <w:r>
        <w:rPr>
          <w:b/>
          <w:bCs/>
          <w:lang w:val="en-US"/>
        </w:rPr>
        <w:t xml:space="preserve">(b) </w:t>
      </w:r>
      <w:r w:rsidRPr="004D3F94">
        <w:rPr>
          <w:b/>
          <w:bCs/>
          <w:lang w:val="en-US"/>
        </w:rPr>
        <w:t>Supporting Ukraine's reform efforts</w:t>
      </w:r>
      <w:r>
        <w:rPr>
          <w:b/>
          <w:bCs/>
          <w:lang w:val="en-US"/>
        </w:rPr>
        <w:t xml:space="preserve"> - candidacy status</w:t>
      </w:r>
    </w:p>
    <w:p w14:paraId="40E86D77" w14:textId="77777777" w:rsidR="00F43F17" w:rsidRDefault="00F43F17" w:rsidP="00F43F17">
      <w:pPr>
        <w:jc w:val="both"/>
        <w:rPr>
          <w:lang w:val="en-US"/>
        </w:rPr>
      </w:pPr>
    </w:p>
    <w:p w14:paraId="2FBC57BB" w14:textId="190782D5" w:rsidR="00F43F17" w:rsidRPr="0023571B" w:rsidRDefault="00F43F17" w:rsidP="00F43F17">
      <w:pPr>
        <w:jc w:val="both"/>
        <w:rPr>
          <w:lang/>
        </w:rPr>
      </w:pPr>
      <w:r w:rsidRPr="00A50C6E">
        <w:rPr>
          <w:lang w:val="en-US"/>
        </w:rPr>
        <w:t>Ukraine applied for EU membership in February 2022 and was granted EU candidate status in June 2022</w:t>
      </w:r>
      <w:r>
        <w:rPr>
          <w:lang w:val="en-US"/>
        </w:rPr>
        <w:t xml:space="preserve">. In December 2022, the EU approved a </w:t>
      </w:r>
      <w:r w:rsidRPr="004D3F94">
        <w:rPr>
          <w:lang/>
        </w:rPr>
        <w:t xml:space="preserve">€18 billion </w:t>
      </w:r>
      <w:r w:rsidRPr="004D3F94">
        <w:rPr>
          <w:lang w:val="en-US"/>
        </w:rPr>
        <w:t>loan</w:t>
      </w:r>
      <w:r>
        <w:rPr>
          <w:lang w:val="en-US"/>
        </w:rPr>
        <w:t xml:space="preserve"> for Ukraine, </w:t>
      </w:r>
      <w:r w:rsidRPr="009709F3">
        <w:rPr>
          <w:lang/>
        </w:rPr>
        <w:t xml:space="preserve">conditional on </w:t>
      </w:r>
      <w:r w:rsidRPr="00105DDE">
        <w:rPr>
          <w:lang w:val="en-US"/>
        </w:rPr>
        <w:t>the countr</w:t>
      </w:r>
      <w:r>
        <w:rPr>
          <w:lang w:val="en-US"/>
        </w:rPr>
        <w:t xml:space="preserve">y's </w:t>
      </w:r>
      <w:r w:rsidRPr="004D3F94">
        <w:rPr>
          <w:lang w:val="en-US"/>
        </w:rPr>
        <w:t xml:space="preserve">reform </w:t>
      </w:r>
      <w:r w:rsidRPr="009709F3">
        <w:rPr>
          <w:lang/>
        </w:rPr>
        <w:t>progress</w:t>
      </w:r>
      <w:r w:rsidRPr="004D3F94">
        <w:rPr>
          <w:lang w:val="en-US"/>
        </w:rPr>
        <w:t>.</w:t>
      </w:r>
      <w:r>
        <w:rPr>
          <w:lang w:val="en-US"/>
        </w:rPr>
        <w:t xml:space="preserve"> R</w:t>
      </w:r>
      <w:r w:rsidRPr="00105DDE">
        <w:rPr>
          <w:lang w:val="en-US"/>
        </w:rPr>
        <w:t xml:space="preserve">epresentatives of the Ukrainian government </w:t>
      </w:r>
      <w:r>
        <w:rPr>
          <w:lang w:val="en-US"/>
        </w:rPr>
        <w:t xml:space="preserve">recently </w:t>
      </w:r>
      <w:r w:rsidRPr="00105DDE">
        <w:rPr>
          <w:lang w:val="en-US"/>
        </w:rPr>
        <w:t xml:space="preserve">stated that 77 percent of the obligations under the </w:t>
      </w:r>
      <w:hyperlink r:id="rId10" w:history="1">
        <w:r w:rsidRPr="00A50C6E">
          <w:rPr>
            <w:rStyle w:val="Hyperlink"/>
            <w:lang w:val="en-US"/>
          </w:rPr>
          <w:t>Association Agreement</w:t>
        </w:r>
      </w:hyperlink>
      <w:r>
        <w:rPr>
          <w:lang w:val="en-US"/>
        </w:rPr>
        <w:t xml:space="preserve"> </w:t>
      </w:r>
      <w:r w:rsidRPr="00105DDE">
        <w:rPr>
          <w:lang w:val="en-US"/>
        </w:rPr>
        <w:t>had been met, including 90 percent in the area of justice. The major unanswered question</w:t>
      </w:r>
      <w:r>
        <w:rPr>
          <w:lang w:val="en-US"/>
        </w:rPr>
        <w:t xml:space="preserve"> that</w:t>
      </w:r>
      <w:r w:rsidRPr="00105DDE">
        <w:rPr>
          <w:lang w:val="en-US"/>
        </w:rPr>
        <w:t xml:space="preserve"> </w:t>
      </w:r>
      <w:r>
        <w:rPr>
          <w:lang w:val="en-US"/>
        </w:rPr>
        <w:t>remains, however</w:t>
      </w:r>
      <w:r w:rsidRPr="00105DDE">
        <w:rPr>
          <w:lang w:val="en-US"/>
        </w:rPr>
        <w:t xml:space="preserve">, </w:t>
      </w:r>
      <w:r>
        <w:rPr>
          <w:lang w:val="en-US"/>
        </w:rPr>
        <w:t xml:space="preserve">is </w:t>
      </w:r>
      <w:r w:rsidRPr="00105DDE">
        <w:rPr>
          <w:lang w:val="en-US"/>
        </w:rPr>
        <w:t>how fast can Ukraine become an EU member</w:t>
      </w:r>
      <w:r>
        <w:rPr>
          <w:lang w:val="en-US"/>
        </w:rPr>
        <w:t>.</w:t>
      </w:r>
      <w:r w:rsidRPr="00105DDE">
        <w:rPr>
          <w:lang w:val="en-US"/>
        </w:rPr>
        <w:t xml:space="preserve"> The </w:t>
      </w:r>
      <w:r>
        <w:rPr>
          <w:lang w:val="en-US"/>
        </w:rPr>
        <w:t>EU</w:t>
      </w:r>
      <w:r w:rsidRPr="00105DDE">
        <w:rPr>
          <w:lang w:val="en-US"/>
        </w:rPr>
        <w:t xml:space="preserve"> clearly expects to follow the usual procedure: a candidate country should meet the </w:t>
      </w:r>
      <w:hyperlink r:id="rId11" w:history="1">
        <w:r w:rsidRPr="00BE75A6">
          <w:rPr>
            <w:rStyle w:val="Hyperlink"/>
            <w:lang w:val="en-US"/>
          </w:rPr>
          <w:t>Copenhagen criteria</w:t>
        </w:r>
      </w:hyperlink>
      <w:r w:rsidRPr="00105DDE">
        <w:rPr>
          <w:lang w:val="en-US"/>
        </w:rPr>
        <w:t xml:space="preserve"> and receive an official decision from the European Commission on how well it has done on that objective; based on the commission’s positive assessment, the EU Council can start negotiations with a country on membership.</w:t>
      </w:r>
      <w:r>
        <w:rPr>
          <w:lang w:val="en-US"/>
        </w:rPr>
        <w:t xml:space="preserve"> In March 2023, the Commission is expected to provide a report on Ukraine's reform progress. It remains to be seen if the report is focused on procedure - that is, all criteria have to be fulfilled before accession negotiations can start - or more on political </w:t>
      </w:r>
      <w:r w:rsidR="00633822">
        <w:rPr>
          <w:lang w:val="en-US"/>
        </w:rPr>
        <w:t xml:space="preserve">or </w:t>
      </w:r>
      <w:hyperlink r:id="rId12" w:history="1">
        <w:r w:rsidR="00633822" w:rsidRPr="00633822">
          <w:rPr>
            <w:rStyle w:val="Hyperlink"/>
            <w:lang w:val="en-US"/>
          </w:rPr>
          <w:t xml:space="preserve">values-based </w:t>
        </w:r>
        <w:r w:rsidRPr="00633822">
          <w:rPr>
            <w:rStyle w:val="Hyperlink"/>
            <w:lang w:val="en-US"/>
          </w:rPr>
          <w:t>motives</w:t>
        </w:r>
      </w:hyperlink>
      <w:r>
        <w:rPr>
          <w:lang w:val="en-US"/>
        </w:rPr>
        <w:t xml:space="preserve"> - that is, start negotiations with Ukraine for geopolitical reasons, and to boost morale among Ukrainians. Within the EU, discussions on the issue continue while larger questions loom: For example, how to deal with the other current candidate countries, such as Albania, Montenegro and North Macedonia; how ready is the EU for another enlargement, including the reform of its decision-making processes; and of course, is the EU's current enlargement policy an adequate tool to meet current geopolitical challenges, such as the growing Russian military threat in Europe </w:t>
      </w:r>
      <w:r w:rsidR="00A43E92">
        <w:rPr>
          <w:lang w:val="en-US"/>
        </w:rPr>
        <w:t>or</w:t>
      </w:r>
      <w:r>
        <w:rPr>
          <w:lang w:val="en-US"/>
        </w:rPr>
        <w:t xml:space="preserve"> a changing world order</w:t>
      </w:r>
      <w:r w:rsidR="00A43E92">
        <w:rPr>
          <w:lang w:val="en-US"/>
        </w:rPr>
        <w:t xml:space="preserve"> more generally</w:t>
      </w:r>
      <w:r>
        <w:rPr>
          <w:lang w:val="en-US"/>
        </w:rPr>
        <w:t>?</w:t>
      </w:r>
    </w:p>
    <w:p w14:paraId="70E3203B" w14:textId="77777777" w:rsidR="00E442A5" w:rsidRPr="00F43F17" w:rsidRDefault="00E442A5" w:rsidP="006F4CCA">
      <w:pPr>
        <w:jc w:val="both"/>
        <w:rPr>
          <w:lang/>
        </w:rPr>
      </w:pPr>
    </w:p>
    <w:p w14:paraId="4F33E8A7" w14:textId="7C6C3311" w:rsidR="00814061" w:rsidRPr="00F43F17" w:rsidRDefault="00F43F17" w:rsidP="006F4CCA">
      <w:pPr>
        <w:jc w:val="both"/>
        <w:rPr>
          <w:b/>
          <w:bCs/>
          <w:lang w:val="en-US"/>
        </w:rPr>
      </w:pPr>
      <w:r>
        <w:rPr>
          <w:b/>
          <w:bCs/>
          <w:lang w:val="en-US"/>
        </w:rPr>
        <w:t xml:space="preserve">(c) </w:t>
      </w:r>
      <w:r w:rsidR="00814061" w:rsidRPr="00C14B56">
        <w:rPr>
          <w:b/>
          <w:bCs/>
          <w:lang w:val="en-US"/>
        </w:rPr>
        <w:t>M</w:t>
      </w:r>
      <w:r w:rsidR="00814061" w:rsidRPr="00C14B56">
        <w:rPr>
          <w:b/>
          <w:bCs/>
          <w:lang/>
        </w:rPr>
        <w:t>ilitary, financial and humanitarian aid to Ukraine</w:t>
      </w:r>
      <w:r w:rsidRPr="00F43F17">
        <w:rPr>
          <w:b/>
          <w:bCs/>
          <w:lang w:val="en-US"/>
        </w:rPr>
        <w:t xml:space="preserve">: </w:t>
      </w:r>
      <w:r>
        <w:rPr>
          <w:b/>
          <w:bCs/>
          <w:lang w:val="en-US"/>
        </w:rPr>
        <w:t>Where next for EU defense policy?</w:t>
      </w:r>
    </w:p>
    <w:p w14:paraId="6A940B60" w14:textId="15A0F172" w:rsidR="007D6FF2" w:rsidRDefault="007D6FF2" w:rsidP="006F4CCA">
      <w:pPr>
        <w:jc w:val="both"/>
        <w:rPr>
          <w:lang/>
        </w:rPr>
      </w:pPr>
    </w:p>
    <w:p w14:paraId="1F65223E" w14:textId="0079FC22" w:rsidR="00814061" w:rsidRPr="00814061" w:rsidRDefault="00476861" w:rsidP="006F4CCA">
      <w:pPr>
        <w:jc w:val="both"/>
        <w:rPr>
          <w:lang/>
        </w:rPr>
      </w:pPr>
      <w:r>
        <w:rPr>
          <w:lang w:val="en-US"/>
        </w:rPr>
        <w:t xml:space="preserve">In Brussels, many EU officials believe that the Russian invasion of Ukraine has overturned EU foreign, defense and security policy. </w:t>
      </w:r>
      <w:r w:rsidRPr="00476861">
        <w:rPr>
          <w:lang w:val="en-US"/>
        </w:rPr>
        <w:t xml:space="preserve">Reacting to the Russian invasion of Ukraine, for the first time in its history the EU has now </w:t>
      </w:r>
      <w:proofErr w:type="spellStart"/>
      <w:r w:rsidRPr="00476861">
        <w:rPr>
          <w:lang w:val="en-US"/>
        </w:rPr>
        <w:t>mobilised</w:t>
      </w:r>
      <w:proofErr w:type="spellEnd"/>
      <w:r w:rsidRPr="00476861">
        <w:rPr>
          <w:lang w:val="en-US"/>
        </w:rPr>
        <w:t xml:space="preserve"> funds for the delivery by </w:t>
      </w:r>
      <w:r>
        <w:rPr>
          <w:lang w:val="en-US"/>
        </w:rPr>
        <w:t>m</w:t>
      </w:r>
      <w:r w:rsidRPr="00476861">
        <w:rPr>
          <w:lang w:val="en-US"/>
        </w:rPr>
        <w:t xml:space="preserve">ember </w:t>
      </w:r>
      <w:r>
        <w:rPr>
          <w:lang w:val="en-US"/>
        </w:rPr>
        <w:t>s</w:t>
      </w:r>
      <w:r w:rsidRPr="00476861">
        <w:rPr>
          <w:lang w:val="en-US"/>
        </w:rPr>
        <w:t>tates of military equipment, including lethal weaponry,</w:t>
      </w:r>
      <w:r>
        <w:rPr>
          <w:lang w:val="en-US"/>
        </w:rPr>
        <w:t xml:space="preserve"> through the </w:t>
      </w:r>
      <w:r w:rsidRPr="00476861">
        <w:rPr>
          <w:lang w:val="en-US"/>
        </w:rPr>
        <w:t>European Peace Facility (EPF).</w:t>
      </w:r>
      <w:r w:rsidR="00CD1BF0" w:rsidRPr="00CD1BF0">
        <w:rPr>
          <w:lang w:val="en-US"/>
        </w:rPr>
        <w:t xml:space="preserve"> </w:t>
      </w:r>
      <w:r w:rsidRPr="00814061">
        <w:rPr>
          <w:lang/>
        </w:rPr>
        <w:t xml:space="preserve">EU countries and institutions </w:t>
      </w:r>
      <w:r w:rsidRPr="00476861">
        <w:rPr>
          <w:lang w:val="en-US"/>
        </w:rPr>
        <w:t>have spent nearly</w:t>
      </w:r>
      <w:r w:rsidRPr="00814061">
        <w:rPr>
          <w:lang/>
        </w:rPr>
        <w:t xml:space="preserve"> </w:t>
      </w:r>
      <w:r w:rsidRPr="00D5732F">
        <w:rPr>
          <w:lang w:val="en-US"/>
        </w:rPr>
        <w:t>€</w:t>
      </w:r>
      <w:r w:rsidRPr="00814061">
        <w:rPr>
          <w:lang/>
        </w:rPr>
        <w:t xml:space="preserve">52 billion in </w:t>
      </w:r>
      <w:r>
        <w:rPr>
          <w:lang/>
        </w:rPr>
        <w:fldChar w:fldCharType="begin"/>
      </w:r>
      <w:r>
        <w:rPr>
          <w:lang/>
        </w:rPr>
        <w:instrText xml:space="preserve"> HYPERLINK "https://www.ifw-kiel.de/topics/war-against-ukraine/ukraine-support-tracker/" </w:instrText>
      </w:r>
      <w:r>
        <w:rPr>
          <w:lang/>
        </w:rPr>
      </w:r>
      <w:r>
        <w:rPr>
          <w:lang/>
        </w:rPr>
        <w:fldChar w:fldCharType="separate"/>
      </w:r>
      <w:r w:rsidRPr="00814061">
        <w:rPr>
          <w:rStyle w:val="Hyperlink"/>
          <w:lang/>
        </w:rPr>
        <w:t>military, financial and humanitarian assistance</w:t>
      </w:r>
      <w:r w:rsidRPr="00476861">
        <w:rPr>
          <w:rStyle w:val="Hyperlink"/>
          <w:lang w:val="en-US"/>
        </w:rPr>
        <w:t xml:space="preserve"> to Ukraine</w:t>
      </w:r>
      <w:r>
        <w:rPr>
          <w:lang/>
        </w:rPr>
        <w:fldChar w:fldCharType="end"/>
      </w:r>
      <w:r w:rsidRPr="009709F3">
        <w:rPr>
          <w:lang w:val="en-US"/>
        </w:rPr>
        <w:t xml:space="preserve">, including approximately €12 billion in military aid under the </w:t>
      </w:r>
      <w:r>
        <w:rPr>
          <w:lang w:val="en-US"/>
        </w:rPr>
        <w:t>EPF</w:t>
      </w:r>
      <w:r w:rsidRPr="009709F3">
        <w:rPr>
          <w:lang w:val="en-US"/>
        </w:rPr>
        <w:t xml:space="preserve"> and bilateral support from </w:t>
      </w:r>
      <w:r>
        <w:rPr>
          <w:lang w:val="en-US"/>
        </w:rPr>
        <w:t>EU</w:t>
      </w:r>
      <w:r w:rsidRPr="009709F3">
        <w:rPr>
          <w:lang w:val="en-US"/>
        </w:rPr>
        <w:t xml:space="preserve"> member states. </w:t>
      </w:r>
      <w:r>
        <w:rPr>
          <w:lang w:val="en-US"/>
        </w:rPr>
        <w:t xml:space="preserve">By </w:t>
      </w:r>
      <w:r w:rsidR="00592C25">
        <w:rPr>
          <w:lang w:val="en-US"/>
        </w:rPr>
        <w:t>December</w:t>
      </w:r>
      <w:r>
        <w:rPr>
          <w:lang w:val="en-US"/>
        </w:rPr>
        <w:t xml:space="preserve"> 2023, the EU</w:t>
      </w:r>
      <w:r w:rsidRPr="009709F3">
        <w:rPr>
          <w:lang w:val="en-US"/>
        </w:rPr>
        <w:t xml:space="preserve"> </w:t>
      </w:r>
      <w:r>
        <w:rPr>
          <w:lang w:val="en-US"/>
        </w:rPr>
        <w:t xml:space="preserve">had </w:t>
      </w:r>
      <w:r w:rsidRPr="009709F3">
        <w:rPr>
          <w:lang w:val="en-US"/>
        </w:rPr>
        <w:t xml:space="preserve">approved support for the Ukrainian army </w:t>
      </w:r>
      <w:r>
        <w:rPr>
          <w:lang w:val="en-US"/>
        </w:rPr>
        <w:t>worth</w:t>
      </w:r>
      <w:r w:rsidRPr="009709F3">
        <w:rPr>
          <w:lang w:val="en-US"/>
        </w:rPr>
        <w:t xml:space="preserve"> €3.6 billion</w:t>
      </w:r>
      <w:r>
        <w:rPr>
          <w:lang w:val="en-US"/>
        </w:rPr>
        <w:t>. Throughout</w:t>
      </w:r>
      <w:r w:rsidR="00C7179E">
        <w:rPr>
          <w:lang w:val="en-US"/>
        </w:rPr>
        <w:t xml:space="preserve"> 2022, the EU has been producing policy proposals </w:t>
      </w:r>
      <w:r>
        <w:rPr>
          <w:lang w:val="en-US"/>
        </w:rPr>
        <w:t xml:space="preserve">that </w:t>
      </w:r>
      <w:r w:rsidR="00C7179E" w:rsidRPr="00C7179E">
        <w:rPr>
          <w:lang w:val="en-US"/>
        </w:rPr>
        <w:t>focus on organizing Europe’s rearmament efforts and forging a stronger European defense industrial base</w:t>
      </w:r>
      <w:r w:rsidR="00C7179E">
        <w:rPr>
          <w:lang w:val="en-US"/>
        </w:rPr>
        <w:t xml:space="preserve">, including a </w:t>
      </w:r>
      <w:r w:rsidR="00C7179E" w:rsidRPr="00C7179E">
        <w:rPr>
          <w:lang w:val="en-US"/>
        </w:rPr>
        <w:t xml:space="preserve">new joint </w:t>
      </w:r>
      <w:r w:rsidR="00C7179E">
        <w:rPr>
          <w:lang w:val="en-US"/>
        </w:rPr>
        <w:t xml:space="preserve">defense </w:t>
      </w:r>
      <w:r w:rsidR="00C7179E" w:rsidRPr="00C7179E">
        <w:rPr>
          <w:lang w:val="en-US"/>
        </w:rPr>
        <w:t>procurement initiative</w:t>
      </w:r>
      <w:r w:rsidR="00C7179E">
        <w:rPr>
          <w:lang w:val="en-US"/>
        </w:rPr>
        <w:t xml:space="preserve">. </w:t>
      </w:r>
      <w:r>
        <w:rPr>
          <w:lang w:val="en-US"/>
        </w:rPr>
        <w:t>However, Europe's</w:t>
      </w:r>
      <w:r w:rsidRPr="00814061">
        <w:rPr>
          <w:lang w:val="en-US"/>
        </w:rPr>
        <w:t xml:space="preserve"> support to Ukraine since the start of the war ha</w:t>
      </w:r>
      <w:r>
        <w:rPr>
          <w:lang w:val="en-US"/>
        </w:rPr>
        <w:t>d</w:t>
      </w:r>
      <w:r w:rsidRPr="00814061">
        <w:rPr>
          <w:lang w:val="en-US"/>
        </w:rPr>
        <w:t xml:space="preserve"> always lagged behind that of the </w:t>
      </w:r>
      <w:r>
        <w:rPr>
          <w:lang w:val="en-US"/>
        </w:rPr>
        <w:t>US</w:t>
      </w:r>
      <w:r w:rsidRPr="00814061">
        <w:rPr>
          <w:lang w:val="en-US"/>
        </w:rPr>
        <w:t xml:space="preserve">. </w:t>
      </w:r>
      <w:r>
        <w:rPr>
          <w:lang w:val="en-US"/>
        </w:rPr>
        <w:t>Especially on</w:t>
      </w:r>
      <w:r w:rsidRPr="00D5732F">
        <w:rPr>
          <w:lang w:val="en-US"/>
        </w:rPr>
        <w:t xml:space="preserve"> military aid, the discrepancy between Europe and the US </w:t>
      </w:r>
      <w:r>
        <w:rPr>
          <w:lang w:val="en-US"/>
        </w:rPr>
        <w:t>remains</w:t>
      </w:r>
      <w:r w:rsidRPr="00D5732F">
        <w:rPr>
          <w:lang w:val="en-US"/>
        </w:rPr>
        <w:t xml:space="preserve"> significant</w:t>
      </w:r>
      <w:r>
        <w:rPr>
          <w:lang w:val="en-US"/>
        </w:rPr>
        <w:t>. Among the many problems inhibiting the EU to move towards a stronger defense policy</w:t>
      </w:r>
      <w:r w:rsidR="00C7179E">
        <w:rPr>
          <w:lang w:val="en-US"/>
        </w:rPr>
        <w:t xml:space="preserve"> is that France and Germany </w:t>
      </w:r>
      <w:r w:rsidR="00C7179E" w:rsidRPr="00C7179E">
        <w:rPr>
          <w:lang w:val="en-US"/>
        </w:rPr>
        <w:t>disagree on how to shape Europe’s rearmamen</w:t>
      </w:r>
      <w:r w:rsidR="00C7179E">
        <w:rPr>
          <w:lang w:val="en-US"/>
        </w:rPr>
        <w:t xml:space="preserve">t, and </w:t>
      </w:r>
      <w:r>
        <w:rPr>
          <w:lang w:val="en-US"/>
        </w:rPr>
        <w:t xml:space="preserve">that </w:t>
      </w:r>
      <w:r w:rsidR="00C7179E">
        <w:rPr>
          <w:lang w:val="en-US"/>
        </w:rPr>
        <w:t xml:space="preserve">the EU's northern and eastern member states place a focus on NATO and have traditionally been skeptical </w:t>
      </w:r>
      <w:r w:rsidR="00C7179E" w:rsidRPr="00C7179E">
        <w:rPr>
          <w:lang w:val="en-US"/>
        </w:rPr>
        <w:t>of an EU defense role</w:t>
      </w:r>
      <w:r w:rsidR="00C7179E">
        <w:rPr>
          <w:lang w:val="en-US"/>
        </w:rPr>
        <w:t xml:space="preserve">. </w:t>
      </w:r>
      <w:r w:rsidR="00A15F6B" w:rsidRPr="00A15F6B">
        <w:rPr>
          <w:lang w:val="en-US"/>
        </w:rPr>
        <w:t>In the last budget negotiations, funds that the EU had initially allocated to defense were cut significantly.</w:t>
      </w:r>
      <w:r w:rsidR="007A7B99">
        <w:rPr>
          <w:lang w:val="en-US"/>
        </w:rPr>
        <w:t xml:space="preserve"> </w:t>
      </w:r>
      <w:r>
        <w:rPr>
          <w:lang w:val="en-US"/>
        </w:rPr>
        <w:t xml:space="preserve">Also, </w:t>
      </w:r>
      <w:r w:rsidRPr="00476861">
        <w:rPr>
          <w:lang w:val="en-US"/>
        </w:rPr>
        <w:t>b</w:t>
      </w:r>
      <w:r w:rsidRPr="002F5008">
        <w:rPr>
          <w:lang/>
        </w:rPr>
        <w:t xml:space="preserve">uilding a common defense </w:t>
      </w:r>
      <w:r w:rsidRPr="00476861">
        <w:rPr>
          <w:lang w:val="en-US"/>
        </w:rPr>
        <w:t>should</w:t>
      </w:r>
      <w:r w:rsidRPr="002F5008">
        <w:rPr>
          <w:lang/>
        </w:rPr>
        <w:t xml:space="preserve"> </w:t>
      </w:r>
      <w:r w:rsidRPr="002F5008">
        <w:rPr>
          <w:lang/>
        </w:rPr>
        <w:lastRenderedPageBreak/>
        <w:t>be accompanied by a united foreign policy, and effective decision-making mechanisms</w:t>
      </w:r>
      <w:r w:rsidRPr="00476861">
        <w:rPr>
          <w:lang w:val="en-US"/>
        </w:rPr>
        <w:t xml:space="preserve">, </w:t>
      </w:r>
      <w:r>
        <w:rPr>
          <w:lang w:val="en-US"/>
        </w:rPr>
        <w:t>and here the EU still has a long way to go.</w:t>
      </w:r>
    </w:p>
    <w:p w14:paraId="7DA06A6D" w14:textId="0E1FDA33" w:rsidR="00814061" w:rsidRDefault="00814061" w:rsidP="006F4CCA">
      <w:pPr>
        <w:jc w:val="both"/>
        <w:rPr>
          <w:lang/>
        </w:rPr>
      </w:pPr>
    </w:p>
    <w:p w14:paraId="7702A114" w14:textId="2323465D" w:rsidR="00814061" w:rsidRPr="00392F11" w:rsidRDefault="00F43F17" w:rsidP="006F4CCA">
      <w:pPr>
        <w:jc w:val="both"/>
        <w:rPr>
          <w:b/>
          <w:bCs/>
          <w:lang w:val="en-US"/>
        </w:rPr>
      </w:pPr>
      <w:r>
        <w:rPr>
          <w:b/>
          <w:bCs/>
          <w:lang w:val="en-US"/>
        </w:rPr>
        <w:t>(d) Effectiveness of EU sanctions</w:t>
      </w:r>
      <w:r w:rsidR="0062655A" w:rsidRPr="00392F11">
        <w:rPr>
          <w:b/>
          <w:bCs/>
          <w:lang w:val="en-US"/>
        </w:rPr>
        <w:t xml:space="preserve">: From </w:t>
      </w:r>
      <w:r w:rsidR="00A15443" w:rsidRPr="00392F11">
        <w:rPr>
          <w:b/>
          <w:bCs/>
          <w:lang w:val="en-US"/>
        </w:rPr>
        <w:t>unprecedented</w:t>
      </w:r>
      <w:r w:rsidR="0062655A" w:rsidRPr="00392F11">
        <w:rPr>
          <w:b/>
          <w:bCs/>
          <w:lang w:val="en-US"/>
        </w:rPr>
        <w:t xml:space="preserve"> measures to </w:t>
      </w:r>
      <w:r w:rsidR="0062655A" w:rsidRPr="00392F11">
        <w:rPr>
          <w:b/>
          <w:bCs/>
          <w:i/>
          <w:iCs/>
          <w:lang w:val="en-US"/>
        </w:rPr>
        <w:t>'</w:t>
      </w:r>
      <w:r w:rsidR="00BE75A6" w:rsidRPr="00392F11">
        <w:rPr>
          <w:b/>
          <w:bCs/>
          <w:i/>
          <w:iCs/>
          <w:lang w:val="en-US"/>
        </w:rPr>
        <w:t>fatigue</w:t>
      </w:r>
      <w:r w:rsidR="0062655A" w:rsidRPr="00392F11">
        <w:rPr>
          <w:b/>
          <w:bCs/>
          <w:i/>
          <w:iCs/>
          <w:lang w:val="en-US"/>
        </w:rPr>
        <w:t>'</w:t>
      </w:r>
    </w:p>
    <w:p w14:paraId="7D56E80F" w14:textId="0A118628" w:rsidR="0062655A" w:rsidRPr="0062655A" w:rsidRDefault="0062655A" w:rsidP="006F4CCA">
      <w:pPr>
        <w:jc w:val="both"/>
        <w:rPr>
          <w:lang w:val="en-US"/>
        </w:rPr>
      </w:pPr>
    </w:p>
    <w:p w14:paraId="354837AE" w14:textId="330D7207" w:rsidR="0062655A" w:rsidRPr="0062655A" w:rsidRDefault="0062655A" w:rsidP="006F4CCA">
      <w:pPr>
        <w:jc w:val="both"/>
        <w:rPr>
          <w:lang/>
        </w:rPr>
      </w:pPr>
      <w:r>
        <w:rPr>
          <w:lang w:val="en-US"/>
        </w:rPr>
        <w:t xml:space="preserve">While the </w:t>
      </w:r>
      <w:hyperlink r:id="rId13" w:history="1">
        <w:r w:rsidRPr="00A43E92">
          <w:rPr>
            <w:rStyle w:val="Hyperlink"/>
            <w:lang w:val="en-US"/>
          </w:rPr>
          <w:t>EU's sanctions</w:t>
        </w:r>
      </w:hyperlink>
      <w:r>
        <w:rPr>
          <w:lang w:val="en-US"/>
        </w:rPr>
        <w:t xml:space="preserve"> have not stopped Russia's war against Ukraine, t</w:t>
      </w:r>
      <w:r w:rsidRPr="0062655A">
        <w:rPr>
          <w:lang w:val="en-US"/>
        </w:rPr>
        <w:t>he</w:t>
      </w:r>
      <w:r>
        <w:rPr>
          <w:lang w:val="en-US"/>
        </w:rPr>
        <w:t>re is ample evidence that</w:t>
      </w:r>
      <w:r w:rsidRPr="0062655A">
        <w:rPr>
          <w:lang w:val="en-US"/>
        </w:rPr>
        <w:t xml:space="preserve"> sanctions </w:t>
      </w:r>
      <w:r>
        <w:rPr>
          <w:lang w:val="en-US"/>
        </w:rPr>
        <w:t xml:space="preserve">have had an impact. </w:t>
      </w:r>
      <w:r w:rsidRPr="0062655A">
        <w:rPr>
          <w:lang w:val="en-US"/>
        </w:rPr>
        <w:t>Most EU officials involved in European sanctions policy stressed the goal was never</w:t>
      </w:r>
      <w:r>
        <w:rPr>
          <w:lang w:val="en-US"/>
        </w:rPr>
        <w:t xml:space="preserve"> </w:t>
      </w:r>
      <w:r w:rsidRPr="0062655A">
        <w:rPr>
          <w:lang w:val="en-US"/>
        </w:rPr>
        <w:t>to make Russia pull back its troops. Instead, the aim was to weaken the Kremlin's war machine by denying Putin the financing he needs</w:t>
      </w:r>
      <w:r>
        <w:rPr>
          <w:lang w:val="en-US"/>
        </w:rPr>
        <w:t>. Evidence of the latter is that t</w:t>
      </w:r>
      <w:r w:rsidRPr="0062655A">
        <w:rPr>
          <w:lang w:val="en-US"/>
        </w:rPr>
        <w:t>he Russian budget deficit is growing, revenues from oil and gas are halved</w:t>
      </w:r>
      <w:r>
        <w:rPr>
          <w:lang w:val="en-US"/>
        </w:rPr>
        <w:t xml:space="preserve"> and very likely to continue to shrink in the longer term</w:t>
      </w:r>
      <w:r w:rsidRPr="0062655A">
        <w:rPr>
          <w:lang w:val="en-US"/>
        </w:rPr>
        <w:t xml:space="preserve">, </w:t>
      </w:r>
      <w:r>
        <w:rPr>
          <w:lang w:val="en-US"/>
        </w:rPr>
        <w:t xml:space="preserve">and </w:t>
      </w:r>
      <w:r w:rsidR="00392F11">
        <w:rPr>
          <w:lang w:val="en-US"/>
        </w:rPr>
        <w:t>critical technology</w:t>
      </w:r>
      <w:r w:rsidRPr="0062655A">
        <w:rPr>
          <w:lang w:val="en-US"/>
        </w:rPr>
        <w:t xml:space="preserve"> </w:t>
      </w:r>
      <w:r>
        <w:rPr>
          <w:lang w:val="en-US"/>
        </w:rPr>
        <w:t xml:space="preserve">for industrial production </w:t>
      </w:r>
      <w:r w:rsidR="00392F11">
        <w:rPr>
          <w:lang w:val="en-US"/>
        </w:rPr>
        <w:t>is</w:t>
      </w:r>
      <w:r w:rsidRPr="0062655A">
        <w:rPr>
          <w:lang w:val="en-US"/>
        </w:rPr>
        <w:t xml:space="preserve"> </w:t>
      </w:r>
      <w:r>
        <w:rPr>
          <w:lang w:val="en-US"/>
        </w:rPr>
        <w:t xml:space="preserve">scarce. For others, the sanctions have not achieved their goal, because the war has not ended. While the initial EU response in imposing sanctions was unprecedented in its history, one year later, EU officials already talk of </w:t>
      </w:r>
      <w:hyperlink r:id="rId14" w:history="1">
        <w:r w:rsidRPr="00A43E92">
          <w:rPr>
            <w:rStyle w:val="Hyperlink"/>
            <w:lang w:val="en-US"/>
          </w:rPr>
          <w:t xml:space="preserve">'sanctions </w:t>
        </w:r>
        <w:proofErr w:type="spellStart"/>
        <w:r w:rsidRPr="00A43E92">
          <w:rPr>
            <w:rStyle w:val="Hyperlink"/>
            <w:i/>
            <w:iCs/>
            <w:lang w:val="en-US"/>
          </w:rPr>
          <w:t>fatique</w:t>
        </w:r>
        <w:proofErr w:type="spellEnd"/>
        <w:r w:rsidRPr="00A43E92">
          <w:rPr>
            <w:rStyle w:val="Hyperlink"/>
            <w:i/>
            <w:iCs/>
            <w:lang w:val="en-US"/>
          </w:rPr>
          <w:t>'</w:t>
        </w:r>
      </w:hyperlink>
      <w:r>
        <w:rPr>
          <w:lang w:val="en-US"/>
        </w:rPr>
        <w:t xml:space="preserve">. </w:t>
      </w:r>
      <w:r w:rsidR="00A43E92">
        <w:rPr>
          <w:lang w:val="en-US"/>
        </w:rPr>
        <w:t>As time passed</w:t>
      </w:r>
      <w:r>
        <w:rPr>
          <w:lang w:val="en-US"/>
        </w:rPr>
        <w:t>, some EU member states started to push back on energy related sanctions, s</w:t>
      </w:r>
      <w:r w:rsidRPr="0062655A">
        <w:rPr>
          <w:lang w:val="en-US"/>
        </w:rPr>
        <w:t>anctions on fossil fuels also came with transition periods, giving Russia time to adjust and switch its exports to other parts of the world</w:t>
      </w:r>
      <w:r>
        <w:rPr>
          <w:lang w:val="en-US"/>
        </w:rPr>
        <w:t xml:space="preserve">. </w:t>
      </w:r>
      <w:r w:rsidRPr="0062655A">
        <w:rPr>
          <w:lang w:val="en-US"/>
        </w:rPr>
        <w:t xml:space="preserve">Even though the EU steadily reduced energy purchases from Moscow, </w:t>
      </w:r>
      <w:r w:rsidR="00392F11">
        <w:rPr>
          <w:lang w:val="en-US"/>
        </w:rPr>
        <w:t>high</w:t>
      </w:r>
      <w:r w:rsidRPr="0062655A">
        <w:rPr>
          <w:lang w:val="en-US"/>
        </w:rPr>
        <w:t xml:space="preserve"> prices meant that cash flows to Russia stayed high.</w:t>
      </w:r>
      <w:r w:rsidR="00392F11">
        <w:rPr>
          <w:lang w:val="en-US"/>
        </w:rPr>
        <w:t xml:space="preserve"> Often, sanctions decisions were blocked by the veto of few member states, such as most prominently Hungary. To move to a more sustainable arrangement, the EU currently tries to move the extension period for sanctions from six to 12 months, giving single member states less opportunity to block EU sanctions. But the proposal </w:t>
      </w:r>
      <w:r w:rsidR="00A43E92">
        <w:rPr>
          <w:lang w:val="en-US"/>
        </w:rPr>
        <w:t>is currently blocked</w:t>
      </w:r>
      <w:r w:rsidR="00392F11">
        <w:rPr>
          <w:lang w:val="en-US"/>
        </w:rPr>
        <w:t xml:space="preserve">, </w:t>
      </w:r>
      <w:r w:rsidR="00A43E92">
        <w:rPr>
          <w:lang w:val="en-US"/>
        </w:rPr>
        <w:t xml:space="preserve">perhaps </w:t>
      </w:r>
      <w:r w:rsidR="00392F11">
        <w:rPr>
          <w:lang w:val="en-US"/>
        </w:rPr>
        <w:t xml:space="preserve">unsurprisingly, by Hungary. In the longer term, the EU needs to revise its decision-making process and transition to majority voting on sanctions, </w:t>
      </w:r>
      <w:r w:rsidR="006F4CCA">
        <w:rPr>
          <w:lang w:val="en-US"/>
        </w:rPr>
        <w:t xml:space="preserve">as part of a longer-term vision on the strategic use of sanctions and a clear strategy on Russia. Thus far, the EU and its member states have been avoiding the question on what outcome of the war they want for Ukraine, and for Russia; a question that is </w:t>
      </w:r>
      <w:r w:rsidR="00A43E92">
        <w:rPr>
          <w:lang w:val="en-US"/>
        </w:rPr>
        <w:t xml:space="preserve">not only </w:t>
      </w:r>
      <w:r w:rsidR="006F4CCA">
        <w:rPr>
          <w:lang w:val="en-US"/>
        </w:rPr>
        <w:t xml:space="preserve">highly critical for Ukraine, </w:t>
      </w:r>
      <w:r w:rsidR="00A43E92">
        <w:rPr>
          <w:lang w:val="en-US"/>
        </w:rPr>
        <w:t>but also</w:t>
      </w:r>
      <w:r w:rsidR="006F4CCA">
        <w:rPr>
          <w:lang w:val="en-US"/>
        </w:rPr>
        <w:t xml:space="preserve"> for the EU's </w:t>
      </w:r>
      <w:r w:rsidR="00A43E92">
        <w:rPr>
          <w:lang w:val="en-US"/>
        </w:rPr>
        <w:t xml:space="preserve">future </w:t>
      </w:r>
      <w:r w:rsidR="006F4CCA">
        <w:rPr>
          <w:lang w:val="en-US"/>
        </w:rPr>
        <w:t>unity and credibility.</w:t>
      </w:r>
    </w:p>
    <w:p w14:paraId="5D546600" w14:textId="2E8CD671" w:rsidR="0062655A" w:rsidRPr="0062655A" w:rsidRDefault="0062655A" w:rsidP="006F4CCA">
      <w:pPr>
        <w:jc w:val="both"/>
        <w:rPr>
          <w:lang/>
        </w:rPr>
      </w:pPr>
    </w:p>
    <w:p w14:paraId="3777EFF9" w14:textId="6A0EAA74" w:rsidR="00A6252D" w:rsidRDefault="00A6252D" w:rsidP="006F4CCA">
      <w:pPr>
        <w:jc w:val="both"/>
        <w:rPr>
          <w:b/>
          <w:bCs/>
          <w:lang w:val="en-US"/>
        </w:rPr>
      </w:pPr>
    </w:p>
    <w:p w14:paraId="2A70B442" w14:textId="77777777" w:rsidR="00592C25" w:rsidRDefault="00592C25" w:rsidP="006F4CCA">
      <w:pPr>
        <w:jc w:val="both"/>
        <w:rPr>
          <w:b/>
          <w:bCs/>
          <w:lang w:val="en-US"/>
        </w:rPr>
      </w:pPr>
    </w:p>
    <w:p w14:paraId="4770C41C" w14:textId="77777777" w:rsidR="00592C25" w:rsidRDefault="00592C25" w:rsidP="006F4CCA">
      <w:pPr>
        <w:jc w:val="both"/>
        <w:rPr>
          <w:b/>
          <w:bCs/>
          <w:lang w:val="en-US"/>
        </w:rPr>
      </w:pPr>
    </w:p>
    <w:p w14:paraId="0DABD499" w14:textId="77777777" w:rsidR="00592C25" w:rsidRDefault="00592C25" w:rsidP="006F4CCA">
      <w:pPr>
        <w:jc w:val="both"/>
        <w:rPr>
          <w:b/>
          <w:bCs/>
          <w:lang w:val="en-US"/>
        </w:rPr>
      </w:pPr>
    </w:p>
    <w:p w14:paraId="078CFD02" w14:textId="77777777" w:rsidR="00592C25" w:rsidRDefault="00592C25" w:rsidP="006F4CCA">
      <w:pPr>
        <w:jc w:val="both"/>
        <w:rPr>
          <w:b/>
          <w:bCs/>
          <w:lang w:val="en-US"/>
        </w:rPr>
      </w:pPr>
    </w:p>
    <w:p w14:paraId="25321717" w14:textId="77777777" w:rsidR="00592C25" w:rsidRDefault="00592C25" w:rsidP="006F4CCA">
      <w:pPr>
        <w:jc w:val="both"/>
        <w:rPr>
          <w:b/>
          <w:bCs/>
          <w:lang w:val="en-US"/>
        </w:rPr>
      </w:pPr>
    </w:p>
    <w:p w14:paraId="2F7DCA0B" w14:textId="77777777" w:rsidR="00592C25" w:rsidRDefault="00592C25" w:rsidP="006F4CCA">
      <w:pPr>
        <w:jc w:val="both"/>
        <w:rPr>
          <w:b/>
          <w:bCs/>
          <w:lang w:val="en-US"/>
        </w:rPr>
      </w:pPr>
    </w:p>
    <w:p w14:paraId="6F933590" w14:textId="77777777" w:rsidR="00592C25" w:rsidRDefault="00592C25" w:rsidP="006F4CCA">
      <w:pPr>
        <w:jc w:val="both"/>
        <w:rPr>
          <w:b/>
          <w:bCs/>
          <w:lang w:val="en-US"/>
        </w:rPr>
      </w:pPr>
    </w:p>
    <w:p w14:paraId="6D2A1171" w14:textId="77777777" w:rsidR="00592C25" w:rsidRDefault="00592C25" w:rsidP="006F4CCA">
      <w:pPr>
        <w:jc w:val="both"/>
        <w:rPr>
          <w:b/>
          <w:bCs/>
          <w:lang w:val="en-US"/>
        </w:rPr>
      </w:pPr>
    </w:p>
    <w:p w14:paraId="565BA585" w14:textId="77777777" w:rsidR="00592C25" w:rsidRDefault="00592C25" w:rsidP="006F4CCA">
      <w:pPr>
        <w:jc w:val="both"/>
        <w:rPr>
          <w:b/>
          <w:bCs/>
          <w:lang w:val="en-US"/>
        </w:rPr>
      </w:pPr>
    </w:p>
    <w:p w14:paraId="0CEBCD84" w14:textId="77777777" w:rsidR="00592C25" w:rsidRDefault="00592C25" w:rsidP="006F4CCA">
      <w:pPr>
        <w:jc w:val="both"/>
        <w:rPr>
          <w:b/>
          <w:bCs/>
          <w:lang w:val="en-US"/>
        </w:rPr>
      </w:pPr>
    </w:p>
    <w:p w14:paraId="75C2FBFA" w14:textId="77777777" w:rsidR="00592C25" w:rsidRDefault="00592C25" w:rsidP="006F4CCA">
      <w:pPr>
        <w:jc w:val="both"/>
        <w:rPr>
          <w:b/>
          <w:bCs/>
          <w:lang w:val="en-US"/>
        </w:rPr>
      </w:pPr>
    </w:p>
    <w:p w14:paraId="50BF8837" w14:textId="77777777" w:rsidR="00592C25" w:rsidRDefault="00592C25" w:rsidP="006F4CCA">
      <w:pPr>
        <w:jc w:val="both"/>
        <w:rPr>
          <w:b/>
          <w:bCs/>
          <w:lang w:val="en-US"/>
        </w:rPr>
      </w:pPr>
    </w:p>
    <w:p w14:paraId="0A52736A" w14:textId="77777777" w:rsidR="00592C25" w:rsidRDefault="00592C25" w:rsidP="00592C25">
      <w:pPr>
        <w:spacing w:after="150"/>
        <w:rPr>
          <w:rFonts w:ascii="Verdana" w:eastAsia="Times New Roman" w:hAnsi="Verdana" w:cs="Times New Roman"/>
          <w:color w:val="011B3C"/>
          <w:lang w:eastAsia="en-GB"/>
        </w:rPr>
      </w:pPr>
    </w:p>
    <w:p w14:paraId="1822677A" w14:textId="77777777" w:rsidR="00592C25" w:rsidRPr="00984B42" w:rsidRDefault="00592C25" w:rsidP="00592C25">
      <w:pPr>
        <w:spacing w:after="150"/>
        <w:rPr>
          <w:rFonts w:ascii="Verdana" w:eastAsia="Times New Roman" w:hAnsi="Verdana" w:cs="Times New Roman"/>
          <w:color w:val="011B3C"/>
          <w:sz w:val="16"/>
          <w:szCs w:val="16"/>
          <w:lang w:eastAsia="en-GB"/>
        </w:rPr>
      </w:pPr>
      <w:r w:rsidRPr="00984B42">
        <w:rPr>
          <w:rFonts w:ascii="Verdana" w:eastAsia="Times New Roman" w:hAnsi="Verdana" w:cs="Times New Roman"/>
          <w:color w:val="011B3C"/>
          <w:lang w:eastAsia="en-GB"/>
        </w:rPr>
        <w:fldChar w:fldCharType="begin"/>
      </w:r>
      <w:r w:rsidRPr="00984B42">
        <w:rPr>
          <w:rFonts w:ascii="Verdana" w:eastAsia="Times New Roman" w:hAnsi="Verdana" w:cs="Times New Roman"/>
          <w:color w:val="011B3C"/>
          <w:lang w:eastAsia="en-GB"/>
        </w:rPr>
        <w:instrText xml:space="preserve"> INCLUDEPICTURE "/var/folders/5f/wnvlft9j5r900k7d8h3k0mr40000gn/T/com.microsoft.Word/WebArchiveCopyPasteTempFiles/eu_logo_0_0.jpg" \* MERGEFORMATINET </w:instrText>
      </w:r>
      <w:r w:rsidRPr="00984B42">
        <w:rPr>
          <w:rFonts w:ascii="Verdana" w:eastAsia="Times New Roman" w:hAnsi="Verdana" w:cs="Times New Roman"/>
          <w:color w:val="011B3C"/>
          <w:lang w:eastAsia="en-GB"/>
        </w:rPr>
        <w:fldChar w:fldCharType="separate"/>
      </w:r>
      <w:r w:rsidRPr="00984B42">
        <w:rPr>
          <w:rFonts w:ascii="Verdana" w:eastAsia="Times New Roman" w:hAnsi="Verdana" w:cs="Times New Roman"/>
          <w:noProof/>
          <w:color w:val="011B3C"/>
          <w:lang w:eastAsia="en-GB"/>
        </w:rPr>
        <w:drawing>
          <wp:inline distT="0" distB="0" distL="0" distR="0" wp14:anchorId="7AE86F1C" wp14:editId="41FB836D">
            <wp:extent cx="1222744" cy="266509"/>
            <wp:effectExtent l="0" t="0" r="0" b="635"/>
            <wp:docPr id="12" name="Picture 1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 up of a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7658" cy="278478"/>
                    </a:xfrm>
                    <a:prstGeom prst="rect">
                      <a:avLst/>
                    </a:prstGeom>
                    <a:noFill/>
                    <a:ln>
                      <a:noFill/>
                    </a:ln>
                  </pic:spPr>
                </pic:pic>
              </a:graphicData>
            </a:graphic>
          </wp:inline>
        </w:drawing>
      </w:r>
      <w:r w:rsidRPr="00984B42">
        <w:rPr>
          <w:rFonts w:ascii="Verdana" w:eastAsia="Times New Roman" w:hAnsi="Verdana" w:cs="Times New Roman"/>
          <w:color w:val="011B3C"/>
          <w:lang w:eastAsia="en-GB"/>
        </w:rPr>
        <w:fldChar w:fldCharType="end"/>
      </w:r>
      <w:r w:rsidRPr="00187E11">
        <w:rPr>
          <w:rFonts w:ascii="Verdana" w:eastAsia="Times New Roman" w:hAnsi="Verdana" w:cs="Times New Roman"/>
          <w:color w:val="011B3C"/>
          <w:lang w:val="en-US" w:eastAsia="en-GB"/>
        </w:rPr>
        <w:t xml:space="preserve">  </w:t>
      </w:r>
      <w:r w:rsidRPr="00984B42">
        <w:rPr>
          <w:rFonts w:ascii="Verdana" w:eastAsia="Times New Roman" w:hAnsi="Verdana" w:cs="Times New Roman"/>
          <w:i/>
          <w:iCs/>
          <w:color w:val="011B3C"/>
          <w:sz w:val="16"/>
          <w:szCs w:val="16"/>
          <w:lang w:eastAsia="en-GB"/>
        </w:rPr>
        <w:t xml:space="preserve">The European Commission's support for the production of this </w:t>
      </w:r>
      <w:r w:rsidRPr="00187E11">
        <w:rPr>
          <w:rFonts w:ascii="Verdana" w:eastAsia="Times New Roman" w:hAnsi="Verdana" w:cs="Times New Roman"/>
          <w:i/>
          <w:iCs/>
          <w:color w:val="011B3C"/>
          <w:sz w:val="16"/>
          <w:szCs w:val="16"/>
          <w:lang w:val="en-US" w:eastAsia="en-GB"/>
        </w:rPr>
        <w:t>conference</w:t>
      </w:r>
      <w:r w:rsidRPr="00984B42">
        <w:rPr>
          <w:rFonts w:ascii="Verdana" w:eastAsia="Times New Roman" w:hAnsi="Verdana" w:cs="Times New Roman"/>
          <w:i/>
          <w:iCs/>
          <w:color w:val="011B3C"/>
          <w:sz w:val="16"/>
          <w:szCs w:val="16"/>
          <w:lang w:eastAsia="en-GB"/>
        </w:rPr>
        <w:t xml:space="preserve"> does not constitute an endorsement of the contents, which reflect the views only of the authors, and the Commission cannot be held responsible for any use which may be made of the information contained therein.</w:t>
      </w:r>
    </w:p>
    <w:p w14:paraId="3812AAA6" w14:textId="77777777" w:rsidR="00592C25" w:rsidRPr="00592C25" w:rsidRDefault="00592C25" w:rsidP="006F4CCA">
      <w:pPr>
        <w:jc w:val="both"/>
        <w:rPr>
          <w:b/>
          <w:bCs/>
          <w:lang/>
        </w:rPr>
      </w:pPr>
    </w:p>
    <w:sectPr w:rsidR="00592C25" w:rsidRPr="00592C25" w:rsidSect="008F0A4D">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E74C" w14:textId="77777777" w:rsidR="00892A27" w:rsidRDefault="00892A27" w:rsidP="00A43E92">
      <w:r>
        <w:separator/>
      </w:r>
    </w:p>
  </w:endnote>
  <w:endnote w:type="continuationSeparator" w:id="0">
    <w:p w14:paraId="7F6C28A4" w14:textId="77777777" w:rsidR="00892A27" w:rsidRDefault="00892A27" w:rsidP="00A4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8100655"/>
      <w:docPartObj>
        <w:docPartGallery w:val="Page Numbers (Bottom of Page)"/>
        <w:docPartUnique/>
      </w:docPartObj>
    </w:sdtPr>
    <w:sdtContent>
      <w:p w14:paraId="01A68D91" w14:textId="050EB424" w:rsidR="00A43E92" w:rsidRDefault="00A43E92" w:rsidP="00014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E88E6" w14:textId="77777777" w:rsidR="00A43E92" w:rsidRDefault="00A43E92" w:rsidP="00A43E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7137173"/>
      <w:docPartObj>
        <w:docPartGallery w:val="Page Numbers (Bottom of Page)"/>
        <w:docPartUnique/>
      </w:docPartObj>
    </w:sdtPr>
    <w:sdtContent>
      <w:p w14:paraId="4542F480" w14:textId="2532EDFA" w:rsidR="00A43E92" w:rsidRDefault="00A43E92" w:rsidP="00014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B357FA" w14:textId="77777777" w:rsidR="00A43E92" w:rsidRDefault="00A43E92" w:rsidP="00A43E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7552" w14:textId="77777777" w:rsidR="00892A27" w:rsidRDefault="00892A27" w:rsidP="00A43E92">
      <w:r>
        <w:separator/>
      </w:r>
    </w:p>
  </w:footnote>
  <w:footnote w:type="continuationSeparator" w:id="0">
    <w:p w14:paraId="5F15A85B" w14:textId="77777777" w:rsidR="00892A27" w:rsidRDefault="00892A27" w:rsidP="00A43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BB"/>
    <w:rsid w:val="00043EE3"/>
    <w:rsid w:val="000946E4"/>
    <w:rsid w:val="000B60C4"/>
    <w:rsid w:val="000F15DC"/>
    <w:rsid w:val="000F618A"/>
    <w:rsid w:val="00105DDE"/>
    <w:rsid w:val="001D711C"/>
    <w:rsid w:val="001D758C"/>
    <w:rsid w:val="00232BDC"/>
    <w:rsid w:val="0023571B"/>
    <w:rsid w:val="00237FF8"/>
    <w:rsid w:val="00262DF9"/>
    <w:rsid w:val="0027245F"/>
    <w:rsid w:val="002F5008"/>
    <w:rsid w:val="00322AE5"/>
    <w:rsid w:val="00364266"/>
    <w:rsid w:val="00382367"/>
    <w:rsid w:val="00392F11"/>
    <w:rsid w:val="003D513A"/>
    <w:rsid w:val="004316EC"/>
    <w:rsid w:val="0043601D"/>
    <w:rsid w:val="00450174"/>
    <w:rsid w:val="0046516F"/>
    <w:rsid w:val="00476861"/>
    <w:rsid w:val="004970AF"/>
    <w:rsid w:val="004B7FB3"/>
    <w:rsid w:val="004D3F94"/>
    <w:rsid w:val="004D6D12"/>
    <w:rsid w:val="005456A5"/>
    <w:rsid w:val="00591C6C"/>
    <w:rsid w:val="00592C25"/>
    <w:rsid w:val="005F57FC"/>
    <w:rsid w:val="0062655A"/>
    <w:rsid w:val="00633822"/>
    <w:rsid w:val="00664D09"/>
    <w:rsid w:val="006B07BE"/>
    <w:rsid w:val="006D2DB6"/>
    <w:rsid w:val="006F4CCA"/>
    <w:rsid w:val="007078CF"/>
    <w:rsid w:val="007A7B99"/>
    <w:rsid w:val="007D6FF2"/>
    <w:rsid w:val="00814061"/>
    <w:rsid w:val="00877327"/>
    <w:rsid w:val="00892A27"/>
    <w:rsid w:val="008948D4"/>
    <w:rsid w:val="008A68E4"/>
    <w:rsid w:val="008E2B86"/>
    <w:rsid w:val="008F0A4D"/>
    <w:rsid w:val="00913E54"/>
    <w:rsid w:val="009709F3"/>
    <w:rsid w:val="0099452C"/>
    <w:rsid w:val="009A1BB7"/>
    <w:rsid w:val="009B4299"/>
    <w:rsid w:val="009C50DD"/>
    <w:rsid w:val="009D57B3"/>
    <w:rsid w:val="00A02A1E"/>
    <w:rsid w:val="00A15443"/>
    <w:rsid w:val="00A15F6B"/>
    <w:rsid w:val="00A43B7C"/>
    <w:rsid w:val="00A43E92"/>
    <w:rsid w:val="00A50C6E"/>
    <w:rsid w:val="00A6252D"/>
    <w:rsid w:val="00AC0A87"/>
    <w:rsid w:val="00B3026B"/>
    <w:rsid w:val="00B72DEB"/>
    <w:rsid w:val="00B77B43"/>
    <w:rsid w:val="00BE75A6"/>
    <w:rsid w:val="00C14B56"/>
    <w:rsid w:val="00C7179E"/>
    <w:rsid w:val="00C85402"/>
    <w:rsid w:val="00CD1BF0"/>
    <w:rsid w:val="00D0329D"/>
    <w:rsid w:val="00D5732F"/>
    <w:rsid w:val="00D858DE"/>
    <w:rsid w:val="00DB5EE0"/>
    <w:rsid w:val="00E442A5"/>
    <w:rsid w:val="00EA324F"/>
    <w:rsid w:val="00EB5BBB"/>
    <w:rsid w:val="00ED72D4"/>
    <w:rsid w:val="00EE001B"/>
    <w:rsid w:val="00F43F17"/>
    <w:rsid w:val="00FE76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DE61317"/>
  <w15:chartTrackingRefBased/>
  <w15:docId w15:val="{BBA87ACE-3565-1644-B581-F2B09004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BBB"/>
    <w:rPr>
      <w:color w:val="0563C1" w:themeColor="hyperlink"/>
      <w:u w:val="single"/>
    </w:rPr>
  </w:style>
  <w:style w:type="character" w:styleId="UnresolvedMention">
    <w:name w:val="Unresolved Mention"/>
    <w:basedOn w:val="DefaultParagraphFont"/>
    <w:uiPriority w:val="99"/>
    <w:semiHidden/>
    <w:unhideWhenUsed/>
    <w:rsid w:val="00EB5BBB"/>
    <w:rPr>
      <w:color w:val="605E5C"/>
      <w:shd w:val="clear" w:color="auto" w:fill="E1DFDD"/>
    </w:rPr>
  </w:style>
  <w:style w:type="character" w:styleId="FollowedHyperlink">
    <w:name w:val="FollowedHyperlink"/>
    <w:basedOn w:val="DefaultParagraphFont"/>
    <w:uiPriority w:val="99"/>
    <w:semiHidden/>
    <w:unhideWhenUsed/>
    <w:rsid w:val="00814061"/>
    <w:rPr>
      <w:color w:val="954F72" w:themeColor="followedHyperlink"/>
      <w:u w:val="single"/>
    </w:rPr>
  </w:style>
  <w:style w:type="character" w:customStyle="1" w:styleId="apple-converted-space">
    <w:name w:val="apple-converted-space"/>
    <w:basedOn w:val="DefaultParagraphFont"/>
    <w:rsid w:val="00814061"/>
  </w:style>
  <w:style w:type="paragraph" w:styleId="Footer">
    <w:name w:val="footer"/>
    <w:basedOn w:val="Normal"/>
    <w:link w:val="FooterChar"/>
    <w:uiPriority w:val="99"/>
    <w:unhideWhenUsed/>
    <w:rsid w:val="00A43E92"/>
    <w:pPr>
      <w:tabs>
        <w:tab w:val="center" w:pos="4513"/>
        <w:tab w:val="right" w:pos="9026"/>
      </w:tabs>
    </w:pPr>
  </w:style>
  <w:style w:type="character" w:customStyle="1" w:styleId="FooterChar">
    <w:name w:val="Footer Char"/>
    <w:basedOn w:val="DefaultParagraphFont"/>
    <w:link w:val="Footer"/>
    <w:uiPriority w:val="99"/>
    <w:rsid w:val="00A43E92"/>
    <w:rPr>
      <w:lang w:val="en-GB"/>
    </w:rPr>
  </w:style>
  <w:style w:type="character" w:styleId="PageNumber">
    <w:name w:val="page number"/>
    <w:basedOn w:val="DefaultParagraphFont"/>
    <w:uiPriority w:val="99"/>
    <w:semiHidden/>
    <w:unhideWhenUsed/>
    <w:rsid w:val="00A4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9512">
      <w:bodyDiv w:val="1"/>
      <w:marLeft w:val="0"/>
      <w:marRight w:val="0"/>
      <w:marTop w:val="0"/>
      <w:marBottom w:val="0"/>
      <w:divBdr>
        <w:top w:val="none" w:sz="0" w:space="0" w:color="auto"/>
        <w:left w:val="none" w:sz="0" w:space="0" w:color="auto"/>
        <w:bottom w:val="none" w:sz="0" w:space="0" w:color="auto"/>
        <w:right w:val="none" w:sz="0" w:space="0" w:color="auto"/>
      </w:divBdr>
    </w:div>
    <w:div w:id="56362227">
      <w:bodyDiv w:val="1"/>
      <w:marLeft w:val="0"/>
      <w:marRight w:val="0"/>
      <w:marTop w:val="0"/>
      <w:marBottom w:val="0"/>
      <w:divBdr>
        <w:top w:val="none" w:sz="0" w:space="0" w:color="auto"/>
        <w:left w:val="none" w:sz="0" w:space="0" w:color="auto"/>
        <w:bottom w:val="none" w:sz="0" w:space="0" w:color="auto"/>
        <w:right w:val="none" w:sz="0" w:space="0" w:color="auto"/>
      </w:divBdr>
    </w:div>
    <w:div w:id="114953945">
      <w:bodyDiv w:val="1"/>
      <w:marLeft w:val="0"/>
      <w:marRight w:val="0"/>
      <w:marTop w:val="0"/>
      <w:marBottom w:val="0"/>
      <w:divBdr>
        <w:top w:val="none" w:sz="0" w:space="0" w:color="auto"/>
        <w:left w:val="none" w:sz="0" w:space="0" w:color="auto"/>
        <w:bottom w:val="none" w:sz="0" w:space="0" w:color="auto"/>
        <w:right w:val="none" w:sz="0" w:space="0" w:color="auto"/>
      </w:divBdr>
    </w:div>
    <w:div w:id="117259009">
      <w:bodyDiv w:val="1"/>
      <w:marLeft w:val="0"/>
      <w:marRight w:val="0"/>
      <w:marTop w:val="0"/>
      <w:marBottom w:val="0"/>
      <w:divBdr>
        <w:top w:val="none" w:sz="0" w:space="0" w:color="auto"/>
        <w:left w:val="none" w:sz="0" w:space="0" w:color="auto"/>
        <w:bottom w:val="none" w:sz="0" w:space="0" w:color="auto"/>
        <w:right w:val="none" w:sz="0" w:space="0" w:color="auto"/>
      </w:divBdr>
    </w:div>
    <w:div w:id="175386512">
      <w:bodyDiv w:val="1"/>
      <w:marLeft w:val="0"/>
      <w:marRight w:val="0"/>
      <w:marTop w:val="0"/>
      <w:marBottom w:val="0"/>
      <w:divBdr>
        <w:top w:val="none" w:sz="0" w:space="0" w:color="auto"/>
        <w:left w:val="none" w:sz="0" w:space="0" w:color="auto"/>
        <w:bottom w:val="none" w:sz="0" w:space="0" w:color="auto"/>
        <w:right w:val="none" w:sz="0" w:space="0" w:color="auto"/>
      </w:divBdr>
    </w:div>
    <w:div w:id="199438695">
      <w:bodyDiv w:val="1"/>
      <w:marLeft w:val="0"/>
      <w:marRight w:val="0"/>
      <w:marTop w:val="0"/>
      <w:marBottom w:val="0"/>
      <w:divBdr>
        <w:top w:val="none" w:sz="0" w:space="0" w:color="auto"/>
        <w:left w:val="none" w:sz="0" w:space="0" w:color="auto"/>
        <w:bottom w:val="none" w:sz="0" w:space="0" w:color="auto"/>
        <w:right w:val="none" w:sz="0" w:space="0" w:color="auto"/>
      </w:divBdr>
    </w:div>
    <w:div w:id="202525448">
      <w:bodyDiv w:val="1"/>
      <w:marLeft w:val="0"/>
      <w:marRight w:val="0"/>
      <w:marTop w:val="0"/>
      <w:marBottom w:val="0"/>
      <w:divBdr>
        <w:top w:val="none" w:sz="0" w:space="0" w:color="auto"/>
        <w:left w:val="none" w:sz="0" w:space="0" w:color="auto"/>
        <w:bottom w:val="none" w:sz="0" w:space="0" w:color="auto"/>
        <w:right w:val="none" w:sz="0" w:space="0" w:color="auto"/>
      </w:divBdr>
    </w:div>
    <w:div w:id="241107726">
      <w:bodyDiv w:val="1"/>
      <w:marLeft w:val="0"/>
      <w:marRight w:val="0"/>
      <w:marTop w:val="0"/>
      <w:marBottom w:val="0"/>
      <w:divBdr>
        <w:top w:val="none" w:sz="0" w:space="0" w:color="auto"/>
        <w:left w:val="none" w:sz="0" w:space="0" w:color="auto"/>
        <w:bottom w:val="none" w:sz="0" w:space="0" w:color="auto"/>
        <w:right w:val="none" w:sz="0" w:space="0" w:color="auto"/>
      </w:divBdr>
    </w:div>
    <w:div w:id="299382309">
      <w:bodyDiv w:val="1"/>
      <w:marLeft w:val="0"/>
      <w:marRight w:val="0"/>
      <w:marTop w:val="0"/>
      <w:marBottom w:val="0"/>
      <w:divBdr>
        <w:top w:val="none" w:sz="0" w:space="0" w:color="auto"/>
        <w:left w:val="none" w:sz="0" w:space="0" w:color="auto"/>
        <w:bottom w:val="none" w:sz="0" w:space="0" w:color="auto"/>
        <w:right w:val="none" w:sz="0" w:space="0" w:color="auto"/>
      </w:divBdr>
    </w:div>
    <w:div w:id="309212820">
      <w:bodyDiv w:val="1"/>
      <w:marLeft w:val="0"/>
      <w:marRight w:val="0"/>
      <w:marTop w:val="0"/>
      <w:marBottom w:val="0"/>
      <w:divBdr>
        <w:top w:val="none" w:sz="0" w:space="0" w:color="auto"/>
        <w:left w:val="none" w:sz="0" w:space="0" w:color="auto"/>
        <w:bottom w:val="none" w:sz="0" w:space="0" w:color="auto"/>
        <w:right w:val="none" w:sz="0" w:space="0" w:color="auto"/>
      </w:divBdr>
    </w:div>
    <w:div w:id="332345705">
      <w:bodyDiv w:val="1"/>
      <w:marLeft w:val="0"/>
      <w:marRight w:val="0"/>
      <w:marTop w:val="0"/>
      <w:marBottom w:val="0"/>
      <w:divBdr>
        <w:top w:val="none" w:sz="0" w:space="0" w:color="auto"/>
        <w:left w:val="none" w:sz="0" w:space="0" w:color="auto"/>
        <w:bottom w:val="none" w:sz="0" w:space="0" w:color="auto"/>
        <w:right w:val="none" w:sz="0" w:space="0" w:color="auto"/>
      </w:divBdr>
    </w:div>
    <w:div w:id="374819545">
      <w:bodyDiv w:val="1"/>
      <w:marLeft w:val="0"/>
      <w:marRight w:val="0"/>
      <w:marTop w:val="0"/>
      <w:marBottom w:val="0"/>
      <w:divBdr>
        <w:top w:val="none" w:sz="0" w:space="0" w:color="auto"/>
        <w:left w:val="none" w:sz="0" w:space="0" w:color="auto"/>
        <w:bottom w:val="none" w:sz="0" w:space="0" w:color="auto"/>
        <w:right w:val="none" w:sz="0" w:space="0" w:color="auto"/>
      </w:divBdr>
    </w:div>
    <w:div w:id="414515655">
      <w:bodyDiv w:val="1"/>
      <w:marLeft w:val="0"/>
      <w:marRight w:val="0"/>
      <w:marTop w:val="0"/>
      <w:marBottom w:val="0"/>
      <w:divBdr>
        <w:top w:val="none" w:sz="0" w:space="0" w:color="auto"/>
        <w:left w:val="none" w:sz="0" w:space="0" w:color="auto"/>
        <w:bottom w:val="none" w:sz="0" w:space="0" w:color="auto"/>
        <w:right w:val="none" w:sz="0" w:space="0" w:color="auto"/>
      </w:divBdr>
      <w:divsChild>
        <w:div w:id="966860690">
          <w:marLeft w:val="0"/>
          <w:marRight w:val="0"/>
          <w:marTop w:val="0"/>
          <w:marBottom w:val="0"/>
          <w:divBdr>
            <w:top w:val="none" w:sz="0" w:space="0" w:color="auto"/>
            <w:left w:val="none" w:sz="0" w:space="0" w:color="auto"/>
            <w:bottom w:val="none" w:sz="0" w:space="0" w:color="auto"/>
            <w:right w:val="none" w:sz="0" w:space="0" w:color="auto"/>
          </w:divBdr>
          <w:divsChild>
            <w:div w:id="1377896660">
              <w:marLeft w:val="0"/>
              <w:marRight w:val="0"/>
              <w:marTop w:val="0"/>
              <w:marBottom w:val="0"/>
              <w:divBdr>
                <w:top w:val="none" w:sz="0" w:space="0" w:color="auto"/>
                <w:left w:val="none" w:sz="0" w:space="0" w:color="auto"/>
                <w:bottom w:val="none" w:sz="0" w:space="0" w:color="auto"/>
                <w:right w:val="none" w:sz="0" w:space="0" w:color="auto"/>
              </w:divBdr>
            </w:div>
          </w:divsChild>
        </w:div>
        <w:div w:id="994455499">
          <w:marLeft w:val="0"/>
          <w:marRight w:val="0"/>
          <w:marTop w:val="0"/>
          <w:marBottom w:val="0"/>
          <w:divBdr>
            <w:top w:val="none" w:sz="0" w:space="0" w:color="auto"/>
            <w:left w:val="none" w:sz="0" w:space="0" w:color="auto"/>
            <w:bottom w:val="none" w:sz="0" w:space="0" w:color="auto"/>
            <w:right w:val="none" w:sz="0" w:space="0" w:color="auto"/>
          </w:divBdr>
        </w:div>
      </w:divsChild>
    </w:div>
    <w:div w:id="423889428">
      <w:bodyDiv w:val="1"/>
      <w:marLeft w:val="0"/>
      <w:marRight w:val="0"/>
      <w:marTop w:val="0"/>
      <w:marBottom w:val="0"/>
      <w:divBdr>
        <w:top w:val="none" w:sz="0" w:space="0" w:color="auto"/>
        <w:left w:val="none" w:sz="0" w:space="0" w:color="auto"/>
        <w:bottom w:val="none" w:sz="0" w:space="0" w:color="auto"/>
        <w:right w:val="none" w:sz="0" w:space="0" w:color="auto"/>
      </w:divBdr>
    </w:div>
    <w:div w:id="465659826">
      <w:bodyDiv w:val="1"/>
      <w:marLeft w:val="0"/>
      <w:marRight w:val="0"/>
      <w:marTop w:val="0"/>
      <w:marBottom w:val="0"/>
      <w:divBdr>
        <w:top w:val="none" w:sz="0" w:space="0" w:color="auto"/>
        <w:left w:val="none" w:sz="0" w:space="0" w:color="auto"/>
        <w:bottom w:val="none" w:sz="0" w:space="0" w:color="auto"/>
        <w:right w:val="none" w:sz="0" w:space="0" w:color="auto"/>
      </w:divBdr>
    </w:div>
    <w:div w:id="489906254">
      <w:bodyDiv w:val="1"/>
      <w:marLeft w:val="0"/>
      <w:marRight w:val="0"/>
      <w:marTop w:val="0"/>
      <w:marBottom w:val="0"/>
      <w:divBdr>
        <w:top w:val="none" w:sz="0" w:space="0" w:color="auto"/>
        <w:left w:val="none" w:sz="0" w:space="0" w:color="auto"/>
        <w:bottom w:val="none" w:sz="0" w:space="0" w:color="auto"/>
        <w:right w:val="none" w:sz="0" w:space="0" w:color="auto"/>
      </w:divBdr>
    </w:div>
    <w:div w:id="509566413">
      <w:bodyDiv w:val="1"/>
      <w:marLeft w:val="0"/>
      <w:marRight w:val="0"/>
      <w:marTop w:val="0"/>
      <w:marBottom w:val="0"/>
      <w:divBdr>
        <w:top w:val="none" w:sz="0" w:space="0" w:color="auto"/>
        <w:left w:val="none" w:sz="0" w:space="0" w:color="auto"/>
        <w:bottom w:val="none" w:sz="0" w:space="0" w:color="auto"/>
        <w:right w:val="none" w:sz="0" w:space="0" w:color="auto"/>
      </w:divBdr>
    </w:div>
    <w:div w:id="518198000">
      <w:bodyDiv w:val="1"/>
      <w:marLeft w:val="0"/>
      <w:marRight w:val="0"/>
      <w:marTop w:val="0"/>
      <w:marBottom w:val="0"/>
      <w:divBdr>
        <w:top w:val="none" w:sz="0" w:space="0" w:color="auto"/>
        <w:left w:val="none" w:sz="0" w:space="0" w:color="auto"/>
        <w:bottom w:val="none" w:sz="0" w:space="0" w:color="auto"/>
        <w:right w:val="none" w:sz="0" w:space="0" w:color="auto"/>
      </w:divBdr>
    </w:div>
    <w:div w:id="519246678">
      <w:bodyDiv w:val="1"/>
      <w:marLeft w:val="0"/>
      <w:marRight w:val="0"/>
      <w:marTop w:val="0"/>
      <w:marBottom w:val="0"/>
      <w:divBdr>
        <w:top w:val="none" w:sz="0" w:space="0" w:color="auto"/>
        <w:left w:val="none" w:sz="0" w:space="0" w:color="auto"/>
        <w:bottom w:val="none" w:sz="0" w:space="0" w:color="auto"/>
        <w:right w:val="none" w:sz="0" w:space="0" w:color="auto"/>
      </w:divBdr>
    </w:div>
    <w:div w:id="539829267">
      <w:bodyDiv w:val="1"/>
      <w:marLeft w:val="0"/>
      <w:marRight w:val="0"/>
      <w:marTop w:val="0"/>
      <w:marBottom w:val="0"/>
      <w:divBdr>
        <w:top w:val="none" w:sz="0" w:space="0" w:color="auto"/>
        <w:left w:val="none" w:sz="0" w:space="0" w:color="auto"/>
        <w:bottom w:val="none" w:sz="0" w:space="0" w:color="auto"/>
        <w:right w:val="none" w:sz="0" w:space="0" w:color="auto"/>
      </w:divBdr>
    </w:div>
    <w:div w:id="542517831">
      <w:bodyDiv w:val="1"/>
      <w:marLeft w:val="0"/>
      <w:marRight w:val="0"/>
      <w:marTop w:val="0"/>
      <w:marBottom w:val="0"/>
      <w:divBdr>
        <w:top w:val="none" w:sz="0" w:space="0" w:color="auto"/>
        <w:left w:val="none" w:sz="0" w:space="0" w:color="auto"/>
        <w:bottom w:val="none" w:sz="0" w:space="0" w:color="auto"/>
        <w:right w:val="none" w:sz="0" w:space="0" w:color="auto"/>
      </w:divBdr>
    </w:div>
    <w:div w:id="557404059">
      <w:bodyDiv w:val="1"/>
      <w:marLeft w:val="0"/>
      <w:marRight w:val="0"/>
      <w:marTop w:val="0"/>
      <w:marBottom w:val="0"/>
      <w:divBdr>
        <w:top w:val="none" w:sz="0" w:space="0" w:color="auto"/>
        <w:left w:val="none" w:sz="0" w:space="0" w:color="auto"/>
        <w:bottom w:val="none" w:sz="0" w:space="0" w:color="auto"/>
        <w:right w:val="none" w:sz="0" w:space="0" w:color="auto"/>
      </w:divBdr>
    </w:div>
    <w:div w:id="583151418">
      <w:bodyDiv w:val="1"/>
      <w:marLeft w:val="0"/>
      <w:marRight w:val="0"/>
      <w:marTop w:val="0"/>
      <w:marBottom w:val="0"/>
      <w:divBdr>
        <w:top w:val="none" w:sz="0" w:space="0" w:color="auto"/>
        <w:left w:val="none" w:sz="0" w:space="0" w:color="auto"/>
        <w:bottom w:val="none" w:sz="0" w:space="0" w:color="auto"/>
        <w:right w:val="none" w:sz="0" w:space="0" w:color="auto"/>
      </w:divBdr>
    </w:div>
    <w:div w:id="595526784">
      <w:bodyDiv w:val="1"/>
      <w:marLeft w:val="0"/>
      <w:marRight w:val="0"/>
      <w:marTop w:val="0"/>
      <w:marBottom w:val="0"/>
      <w:divBdr>
        <w:top w:val="none" w:sz="0" w:space="0" w:color="auto"/>
        <w:left w:val="none" w:sz="0" w:space="0" w:color="auto"/>
        <w:bottom w:val="none" w:sz="0" w:space="0" w:color="auto"/>
        <w:right w:val="none" w:sz="0" w:space="0" w:color="auto"/>
      </w:divBdr>
      <w:divsChild>
        <w:div w:id="1354914822">
          <w:marLeft w:val="0"/>
          <w:marRight w:val="0"/>
          <w:marTop w:val="0"/>
          <w:marBottom w:val="0"/>
          <w:divBdr>
            <w:top w:val="none" w:sz="0" w:space="0" w:color="auto"/>
            <w:left w:val="none" w:sz="0" w:space="0" w:color="auto"/>
            <w:bottom w:val="none" w:sz="0" w:space="0" w:color="auto"/>
            <w:right w:val="none" w:sz="0" w:space="0" w:color="auto"/>
          </w:divBdr>
          <w:divsChild>
            <w:div w:id="390928294">
              <w:marLeft w:val="0"/>
              <w:marRight w:val="0"/>
              <w:marTop w:val="0"/>
              <w:marBottom w:val="0"/>
              <w:divBdr>
                <w:top w:val="none" w:sz="0" w:space="0" w:color="auto"/>
                <w:left w:val="none" w:sz="0" w:space="0" w:color="auto"/>
                <w:bottom w:val="none" w:sz="0" w:space="0" w:color="auto"/>
                <w:right w:val="none" w:sz="0" w:space="0" w:color="auto"/>
              </w:divBdr>
            </w:div>
          </w:divsChild>
        </w:div>
        <w:div w:id="1387560768">
          <w:marLeft w:val="0"/>
          <w:marRight w:val="0"/>
          <w:marTop w:val="0"/>
          <w:marBottom w:val="0"/>
          <w:divBdr>
            <w:top w:val="none" w:sz="0" w:space="0" w:color="auto"/>
            <w:left w:val="none" w:sz="0" w:space="0" w:color="auto"/>
            <w:bottom w:val="none" w:sz="0" w:space="0" w:color="auto"/>
            <w:right w:val="none" w:sz="0" w:space="0" w:color="auto"/>
          </w:divBdr>
          <w:divsChild>
            <w:div w:id="1811361941">
              <w:marLeft w:val="0"/>
              <w:marRight w:val="0"/>
              <w:marTop w:val="0"/>
              <w:marBottom w:val="0"/>
              <w:divBdr>
                <w:top w:val="none" w:sz="0" w:space="0" w:color="auto"/>
                <w:left w:val="none" w:sz="0" w:space="0" w:color="auto"/>
                <w:bottom w:val="none" w:sz="0" w:space="0" w:color="auto"/>
                <w:right w:val="none" w:sz="0" w:space="0" w:color="auto"/>
              </w:divBdr>
            </w:div>
          </w:divsChild>
        </w:div>
        <w:div w:id="1891721741">
          <w:marLeft w:val="0"/>
          <w:marRight w:val="0"/>
          <w:marTop w:val="0"/>
          <w:marBottom w:val="0"/>
          <w:divBdr>
            <w:top w:val="none" w:sz="0" w:space="0" w:color="auto"/>
            <w:left w:val="none" w:sz="0" w:space="0" w:color="auto"/>
            <w:bottom w:val="none" w:sz="0" w:space="0" w:color="auto"/>
            <w:right w:val="none" w:sz="0" w:space="0" w:color="auto"/>
          </w:divBdr>
        </w:div>
      </w:divsChild>
    </w:div>
    <w:div w:id="632365746">
      <w:bodyDiv w:val="1"/>
      <w:marLeft w:val="0"/>
      <w:marRight w:val="0"/>
      <w:marTop w:val="0"/>
      <w:marBottom w:val="0"/>
      <w:divBdr>
        <w:top w:val="none" w:sz="0" w:space="0" w:color="auto"/>
        <w:left w:val="none" w:sz="0" w:space="0" w:color="auto"/>
        <w:bottom w:val="none" w:sz="0" w:space="0" w:color="auto"/>
        <w:right w:val="none" w:sz="0" w:space="0" w:color="auto"/>
      </w:divBdr>
    </w:div>
    <w:div w:id="680275598">
      <w:bodyDiv w:val="1"/>
      <w:marLeft w:val="0"/>
      <w:marRight w:val="0"/>
      <w:marTop w:val="0"/>
      <w:marBottom w:val="0"/>
      <w:divBdr>
        <w:top w:val="none" w:sz="0" w:space="0" w:color="auto"/>
        <w:left w:val="none" w:sz="0" w:space="0" w:color="auto"/>
        <w:bottom w:val="none" w:sz="0" w:space="0" w:color="auto"/>
        <w:right w:val="none" w:sz="0" w:space="0" w:color="auto"/>
      </w:divBdr>
    </w:div>
    <w:div w:id="722488835">
      <w:bodyDiv w:val="1"/>
      <w:marLeft w:val="0"/>
      <w:marRight w:val="0"/>
      <w:marTop w:val="0"/>
      <w:marBottom w:val="0"/>
      <w:divBdr>
        <w:top w:val="none" w:sz="0" w:space="0" w:color="auto"/>
        <w:left w:val="none" w:sz="0" w:space="0" w:color="auto"/>
        <w:bottom w:val="none" w:sz="0" w:space="0" w:color="auto"/>
        <w:right w:val="none" w:sz="0" w:space="0" w:color="auto"/>
      </w:divBdr>
    </w:div>
    <w:div w:id="767235937">
      <w:bodyDiv w:val="1"/>
      <w:marLeft w:val="0"/>
      <w:marRight w:val="0"/>
      <w:marTop w:val="0"/>
      <w:marBottom w:val="0"/>
      <w:divBdr>
        <w:top w:val="none" w:sz="0" w:space="0" w:color="auto"/>
        <w:left w:val="none" w:sz="0" w:space="0" w:color="auto"/>
        <w:bottom w:val="none" w:sz="0" w:space="0" w:color="auto"/>
        <w:right w:val="none" w:sz="0" w:space="0" w:color="auto"/>
      </w:divBdr>
    </w:div>
    <w:div w:id="780488461">
      <w:bodyDiv w:val="1"/>
      <w:marLeft w:val="0"/>
      <w:marRight w:val="0"/>
      <w:marTop w:val="0"/>
      <w:marBottom w:val="0"/>
      <w:divBdr>
        <w:top w:val="none" w:sz="0" w:space="0" w:color="auto"/>
        <w:left w:val="none" w:sz="0" w:space="0" w:color="auto"/>
        <w:bottom w:val="none" w:sz="0" w:space="0" w:color="auto"/>
        <w:right w:val="none" w:sz="0" w:space="0" w:color="auto"/>
      </w:divBdr>
    </w:div>
    <w:div w:id="816604706">
      <w:bodyDiv w:val="1"/>
      <w:marLeft w:val="0"/>
      <w:marRight w:val="0"/>
      <w:marTop w:val="0"/>
      <w:marBottom w:val="0"/>
      <w:divBdr>
        <w:top w:val="none" w:sz="0" w:space="0" w:color="auto"/>
        <w:left w:val="none" w:sz="0" w:space="0" w:color="auto"/>
        <w:bottom w:val="none" w:sz="0" w:space="0" w:color="auto"/>
        <w:right w:val="none" w:sz="0" w:space="0" w:color="auto"/>
      </w:divBdr>
    </w:div>
    <w:div w:id="848056641">
      <w:bodyDiv w:val="1"/>
      <w:marLeft w:val="0"/>
      <w:marRight w:val="0"/>
      <w:marTop w:val="0"/>
      <w:marBottom w:val="0"/>
      <w:divBdr>
        <w:top w:val="none" w:sz="0" w:space="0" w:color="auto"/>
        <w:left w:val="none" w:sz="0" w:space="0" w:color="auto"/>
        <w:bottom w:val="none" w:sz="0" w:space="0" w:color="auto"/>
        <w:right w:val="none" w:sz="0" w:space="0" w:color="auto"/>
      </w:divBdr>
    </w:div>
    <w:div w:id="859658182">
      <w:bodyDiv w:val="1"/>
      <w:marLeft w:val="0"/>
      <w:marRight w:val="0"/>
      <w:marTop w:val="0"/>
      <w:marBottom w:val="0"/>
      <w:divBdr>
        <w:top w:val="none" w:sz="0" w:space="0" w:color="auto"/>
        <w:left w:val="none" w:sz="0" w:space="0" w:color="auto"/>
        <w:bottom w:val="none" w:sz="0" w:space="0" w:color="auto"/>
        <w:right w:val="none" w:sz="0" w:space="0" w:color="auto"/>
      </w:divBdr>
    </w:div>
    <w:div w:id="860167547">
      <w:bodyDiv w:val="1"/>
      <w:marLeft w:val="0"/>
      <w:marRight w:val="0"/>
      <w:marTop w:val="0"/>
      <w:marBottom w:val="0"/>
      <w:divBdr>
        <w:top w:val="none" w:sz="0" w:space="0" w:color="auto"/>
        <w:left w:val="none" w:sz="0" w:space="0" w:color="auto"/>
        <w:bottom w:val="none" w:sz="0" w:space="0" w:color="auto"/>
        <w:right w:val="none" w:sz="0" w:space="0" w:color="auto"/>
      </w:divBdr>
    </w:div>
    <w:div w:id="864556590">
      <w:bodyDiv w:val="1"/>
      <w:marLeft w:val="0"/>
      <w:marRight w:val="0"/>
      <w:marTop w:val="0"/>
      <w:marBottom w:val="0"/>
      <w:divBdr>
        <w:top w:val="none" w:sz="0" w:space="0" w:color="auto"/>
        <w:left w:val="none" w:sz="0" w:space="0" w:color="auto"/>
        <w:bottom w:val="none" w:sz="0" w:space="0" w:color="auto"/>
        <w:right w:val="none" w:sz="0" w:space="0" w:color="auto"/>
      </w:divBdr>
    </w:div>
    <w:div w:id="879129615">
      <w:bodyDiv w:val="1"/>
      <w:marLeft w:val="0"/>
      <w:marRight w:val="0"/>
      <w:marTop w:val="0"/>
      <w:marBottom w:val="0"/>
      <w:divBdr>
        <w:top w:val="none" w:sz="0" w:space="0" w:color="auto"/>
        <w:left w:val="none" w:sz="0" w:space="0" w:color="auto"/>
        <w:bottom w:val="none" w:sz="0" w:space="0" w:color="auto"/>
        <w:right w:val="none" w:sz="0" w:space="0" w:color="auto"/>
      </w:divBdr>
    </w:div>
    <w:div w:id="902181484">
      <w:bodyDiv w:val="1"/>
      <w:marLeft w:val="0"/>
      <w:marRight w:val="0"/>
      <w:marTop w:val="0"/>
      <w:marBottom w:val="0"/>
      <w:divBdr>
        <w:top w:val="none" w:sz="0" w:space="0" w:color="auto"/>
        <w:left w:val="none" w:sz="0" w:space="0" w:color="auto"/>
        <w:bottom w:val="none" w:sz="0" w:space="0" w:color="auto"/>
        <w:right w:val="none" w:sz="0" w:space="0" w:color="auto"/>
      </w:divBdr>
    </w:div>
    <w:div w:id="914170961">
      <w:bodyDiv w:val="1"/>
      <w:marLeft w:val="0"/>
      <w:marRight w:val="0"/>
      <w:marTop w:val="0"/>
      <w:marBottom w:val="0"/>
      <w:divBdr>
        <w:top w:val="none" w:sz="0" w:space="0" w:color="auto"/>
        <w:left w:val="none" w:sz="0" w:space="0" w:color="auto"/>
        <w:bottom w:val="none" w:sz="0" w:space="0" w:color="auto"/>
        <w:right w:val="none" w:sz="0" w:space="0" w:color="auto"/>
      </w:divBdr>
    </w:div>
    <w:div w:id="920599822">
      <w:bodyDiv w:val="1"/>
      <w:marLeft w:val="0"/>
      <w:marRight w:val="0"/>
      <w:marTop w:val="0"/>
      <w:marBottom w:val="0"/>
      <w:divBdr>
        <w:top w:val="none" w:sz="0" w:space="0" w:color="auto"/>
        <w:left w:val="none" w:sz="0" w:space="0" w:color="auto"/>
        <w:bottom w:val="none" w:sz="0" w:space="0" w:color="auto"/>
        <w:right w:val="none" w:sz="0" w:space="0" w:color="auto"/>
      </w:divBdr>
    </w:div>
    <w:div w:id="933705536">
      <w:bodyDiv w:val="1"/>
      <w:marLeft w:val="0"/>
      <w:marRight w:val="0"/>
      <w:marTop w:val="0"/>
      <w:marBottom w:val="0"/>
      <w:divBdr>
        <w:top w:val="none" w:sz="0" w:space="0" w:color="auto"/>
        <w:left w:val="none" w:sz="0" w:space="0" w:color="auto"/>
        <w:bottom w:val="none" w:sz="0" w:space="0" w:color="auto"/>
        <w:right w:val="none" w:sz="0" w:space="0" w:color="auto"/>
      </w:divBdr>
    </w:div>
    <w:div w:id="952133633">
      <w:bodyDiv w:val="1"/>
      <w:marLeft w:val="0"/>
      <w:marRight w:val="0"/>
      <w:marTop w:val="0"/>
      <w:marBottom w:val="0"/>
      <w:divBdr>
        <w:top w:val="none" w:sz="0" w:space="0" w:color="auto"/>
        <w:left w:val="none" w:sz="0" w:space="0" w:color="auto"/>
        <w:bottom w:val="none" w:sz="0" w:space="0" w:color="auto"/>
        <w:right w:val="none" w:sz="0" w:space="0" w:color="auto"/>
      </w:divBdr>
    </w:div>
    <w:div w:id="964773376">
      <w:bodyDiv w:val="1"/>
      <w:marLeft w:val="0"/>
      <w:marRight w:val="0"/>
      <w:marTop w:val="0"/>
      <w:marBottom w:val="0"/>
      <w:divBdr>
        <w:top w:val="none" w:sz="0" w:space="0" w:color="auto"/>
        <w:left w:val="none" w:sz="0" w:space="0" w:color="auto"/>
        <w:bottom w:val="none" w:sz="0" w:space="0" w:color="auto"/>
        <w:right w:val="none" w:sz="0" w:space="0" w:color="auto"/>
      </w:divBdr>
    </w:div>
    <w:div w:id="982002987">
      <w:bodyDiv w:val="1"/>
      <w:marLeft w:val="0"/>
      <w:marRight w:val="0"/>
      <w:marTop w:val="0"/>
      <w:marBottom w:val="0"/>
      <w:divBdr>
        <w:top w:val="none" w:sz="0" w:space="0" w:color="auto"/>
        <w:left w:val="none" w:sz="0" w:space="0" w:color="auto"/>
        <w:bottom w:val="none" w:sz="0" w:space="0" w:color="auto"/>
        <w:right w:val="none" w:sz="0" w:space="0" w:color="auto"/>
      </w:divBdr>
    </w:div>
    <w:div w:id="1039663527">
      <w:bodyDiv w:val="1"/>
      <w:marLeft w:val="0"/>
      <w:marRight w:val="0"/>
      <w:marTop w:val="0"/>
      <w:marBottom w:val="0"/>
      <w:divBdr>
        <w:top w:val="none" w:sz="0" w:space="0" w:color="auto"/>
        <w:left w:val="none" w:sz="0" w:space="0" w:color="auto"/>
        <w:bottom w:val="none" w:sz="0" w:space="0" w:color="auto"/>
        <w:right w:val="none" w:sz="0" w:space="0" w:color="auto"/>
      </w:divBdr>
    </w:div>
    <w:div w:id="1104151566">
      <w:bodyDiv w:val="1"/>
      <w:marLeft w:val="0"/>
      <w:marRight w:val="0"/>
      <w:marTop w:val="0"/>
      <w:marBottom w:val="0"/>
      <w:divBdr>
        <w:top w:val="none" w:sz="0" w:space="0" w:color="auto"/>
        <w:left w:val="none" w:sz="0" w:space="0" w:color="auto"/>
        <w:bottom w:val="none" w:sz="0" w:space="0" w:color="auto"/>
        <w:right w:val="none" w:sz="0" w:space="0" w:color="auto"/>
      </w:divBdr>
    </w:div>
    <w:div w:id="1141463732">
      <w:bodyDiv w:val="1"/>
      <w:marLeft w:val="0"/>
      <w:marRight w:val="0"/>
      <w:marTop w:val="0"/>
      <w:marBottom w:val="0"/>
      <w:divBdr>
        <w:top w:val="none" w:sz="0" w:space="0" w:color="auto"/>
        <w:left w:val="none" w:sz="0" w:space="0" w:color="auto"/>
        <w:bottom w:val="none" w:sz="0" w:space="0" w:color="auto"/>
        <w:right w:val="none" w:sz="0" w:space="0" w:color="auto"/>
      </w:divBdr>
    </w:div>
    <w:div w:id="1155296522">
      <w:bodyDiv w:val="1"/>
      <w:marLeft w:val="0"/>
      <w:marRight w:val="0"/>
      <w:marTop w:val="0"/>
      <w:marBottom w:val="0"/>
      <w:divBdr>
        <w:top w:val="none" w:sz="0" w:space="0" w:color="auto"/>
        <w:left w:val="none" w:sz="0" w:space="0" w:color="auto"/>
        <w:bottom w:val="none" w:sz="0" w:space="0" w:color="auto"/>
        <w:right w:val="none" w:sz="0" w:space="0" w:color="auto"/>
      </w:divBdr>
    </w:div>
    <w:div w:id="1156263425">
      <w:bodyDiv w:val="1"/>
      <w:marLeft w:val="0"/>
      <w:marRight w:val="0"/>
      <w:marTop w:val="0"/>
      <w:marBottom w:val="0"/>
      <w:divBdr>
        <w:top w:val="none" w:sz="0" w:space="0" w:color="auto"/>
        <w:left w:val="none" w:sz="0" w:space="0" w:color="auto"/>
        <w:bottom w:val="none" w:sz="0" w:space="0" w:color="auto"/>
        <w:right w:val="none" w:sz="0" w:space="0" w:color="auto"/>
      </w:divBdr>
    </w:div>
    <w:div w:id="1186015857">
      <w:bodyDiv w:val="1"/>
      <w:marLeft w:val="0"/>
      <w:marRight w:val="0"/>
      <w:marTop w:val="0"/>
      <w:marBottom w:val="0"/>
      <w:divBdr>
        <w:top w:val="none" w:sz="0" w:space="0" w:color="auto"/>
        <w:left w:val="none" w:sz="0" w:space="0" w:color="auto"/>
        <w:bottom w:val="none" w:sz="0" w:space="0" w:color="auto"/>
        <w:right w:val="none" w:sz="0" w:space="0" w:color="auto"/>
      </w:divBdr>
    </w:div>
    <w:div w:id="1204714358">
      <w:bodyDiv w:val="1"/>
      <w:marLeft w:val="0"/>
      <w:marRight w:val="0"/>
      <w:marTop w:val="0"/>
      <w:marBottom w:val="0"/>
      <w:divBdr>
        <w:top w:val="none" w:sz="0" w:space="0" w:color="auto"/>
        <w:left w:val="none" w:sz="0" w:space="0" w:color="auto"/>
        <w:bottom w:val="none" w:sz="0" w:space="0" w:color="auto"/>
        <w:right w:val="none" w:sz="0" w:space="0" w:color="auto"/>
      </w:divBdr>
    </w:div>
    <w:div w:id="1228766442">
      <w:bodyDiv w:val="1"/>
      <w:marLeft w:val="0"/>
      <w:marRight w:val="0"/>
      <w:marTop w:val="0"/>
      <w:marBottom w:val="0"/>
      <w:divBdr>
        <w:top w:val="none" w:sz="0" w:space="0" w:color="auto"/>
        <w:left w:val="none" w:sz="0" w:space="0" w:color="auto"/>
        <w:bottom w:val="none" w:sz="0" w:space="0" w:color="auto"/>
        <w:right w:val="none" w:sz="0" w:space="0" w:color="auto"/>
      </w:divBdr>
    </w:div>
    <w:div w:id="1233009054">
      <w:bodyDiv w:val="1"/>
      <w:marLeft w:val="0"/>
      <w:marRight w:val="0"/>
      <w:marTop w:val="0"/>
      <w:marBottom w:val="0"/>
      <w:divBdr>
        <w:top w:val="none" w:sz="0" w:space="0" w:color="auto"/>
        <w:left w:val="none" w:sz="0" w:space="0" w:color="auto"/>
        <w:bottom w:val="none" w:sz="0" w:space="0" w:color="auto"/>
        <w:right w:val="none" w:sz="0" w:space="0" w:color="auto"/>
      </w:divBdr>
    </w:div>
    <w:div w:id="1283416190">
      <w:bodyDiv w:val="1"/>
      <w:marLeft w:val="0"/>
      <w:marRight w:val="0"/>
      <w:marTop w:val="0"/>
      <w:marBottom w:val="0"/>
      <w:divBdr>
        <w:top w:val="none" w:sz="0" w:space="0" w:color="auto"/>
        <w:left w:val="none" w:sz="0" w:space="0" w:color="auto"/>
        <w:bottom w:val="none" w:sz="0" w:space="0" w:color="auto"/>
        <w:right w:val="none" w:sz="0" w:space="0" w:color="auto"/>
      </w:divBdr>
    </w:div>
    <w:div w:id="1313221056">
      <w:bodyDiv w:val="1"/>
      <w:marLeft w:val="0"/>
      <w:marRight w:val="0"/>
      <w:marTop w:val="0"/>
      <w:marBottom w:val="0"/>
      <w:divBdr>
        <w:top w:val="none" w:sz="0" w:space="0" w:color="auto"/>
        <w:left w:val="none" w:sz="0" w:space="0" w:color="auto"/>
        <w:bottom w:val="none" w:sz="0" w:space="0" w:color="auto"/>
        <w:right w:val="none" w:sz="0" w:space="0" w:color="auto"/>
      </w:divBdr>
    </w:div>
    <w:div w:id="1336954071">
      <w:bodyDiv w:val="1"/>
      <w:marLeft w:val="0"/>
      <w:marRight w:val="0"/>
      <w:marTop w:val="0"/>
      <w:marBottom w:val="0"/>
      <w:divBdr>
        <w:top w:val="none" w:sz="0" w:space="0" w:color="auto"/>
        <w:left w:val="none" w:sz="0" w:space="0" w:color="auto"/>
        <w:bottom w:val="none" w:sz="0" w:space="0" w:color="auto"/>
        <w:right w:val="none" w:sz="0" w:space="0" w:color="auto"/>
      </w:divBdr>
    </w:div>
    <w:div w:id="1394505510">
      <w:bodyDiv w:val="1"/>
      <w:marLeft w:val="0"/>
      <w:marRight w:val="0"/>
      <w:marTop w:val="0"/>
      <w:marBottom w:val="0"/>
      <w:divBdr>
        <w:top w:val="none" w:sz="0" w:space="0" w:color="auto"/>
        <w:left w:val="none" w:sz="0" w:space="0" w:color="auto"/>
        <w:bottom w:val="none" w:sz="0" w:space="0" w:color="auto"/>
        <w:right w:val="none" w:sz="0" w:space="0" w:color="auto"/>
      </w:divBdr>
    </w:div>
    <w:div w:id="1435244097">
      <w:bodyDiv w:val="1"/>
      <w:marLeft w:val="0"/>
      <w:marRight w:val="0"/>
      <w:marTop w:val="0"/>
      <w:marBottom w:val="0"/>
      <w:divBdr>
        <w:top w:val="none" w:sz="0" w:space="0" w:color="auto"/>
        <w:left w:val="none" w:sz="0" w:space="0" w:color="auto"/>
        <w:bottom w:val="none" w:sz="0" w:space="0" w:color="auto"/>
        <w:right w:val="none" w:sz="0" w:space="0" w:color="auto"/>
      </w:divBdr>
    </w:div>
    <w:div w:id="1553152753">
      <w:bodyDiv w:val="1"/>
      <w:marLeft w:val="0"/>
      <w:marRight w:val="0"/>
      <w:marTop w:val="0"/>
      <w:marBottom w:val="0"/>
      <w:divBdr>
        <w:top w:val="none" w:sz="0" w:space="0" w:color="auto"/>
        <w:left w:val="none" w:sz="0" w:space="0" w:color="auto"/>
        <w:bottom w:val="none" w:sz="0" w:space="0" w:color="auto"/>
        <w:right w:val="none" w:sz="0" w:space="0" w:color="auto"/>
      </w:divBdr>
    </w:div>
    <w:div w:id="1588033504">
      <w:bodyDiv w:val="1"/>
      <w:marLeft w:val="0"/>
      <w:marRight w:val="0"/>
      <w:marTop w:val="0"/>
      <w:marBottom w:val="0"/>
      <w:divBdr>
        <w:top w:val="none" w:sz="0" w:space="0" w:color="auto"/>
        <w:left w:val="none" w:sz="0" w:space="0" w:color="auto"/>
        <w:bottom w:val="none" w:sz="0" w:space="0" w:color="auto"/>
        <w:right w:val="none" w:sz="0" w:space="0" w:color="auto"/>
      </w:divBdr>
    </w:div>
    <w:div w:id="1589462464">
      <w:bodyDiv w:val="1"/>
      <w:marLeft w:val="0"/>
      <w:marRight w:val="0"/>
      <w:marTop w:val="0"/>
      <w:marBottom w:val="0"/>
      <w:divBdr>
        <w:top w:val="none" w:sz="0" w:space="0" w:color="auto"/>
        <w:left w:val="none" w:sz="0" w:space="0" w:color="auto"/>
        <w:bottom w:val="none" w:sz="0" w:space="0" w:color="auto"/>
        <w:right w:val="none" w:sz="0" w:space="0" w:color="auto"/>
      </w:divBdr>
    </w:div>
    <w:div w:id="1688630769">
      <w:bodyDiv w:val="1"/>
      <w:marLeft w:val="0"/>
      <w:marRight w:val="0"/>
      <w:marTop w:val="0"/>
      <w:marBottom w:val="0"/>
      <w:divBdr>
        <w:top w:val="none" w:sz="0" w:space="0" w:color="auto"/>
        <w:left w:val="none" w:sz="0" w:space="0" w:color="auto"/>
        <w:bottom w:val="none" w:sz="0" w:space="0" w:color="auto"/>
        <w:right w:val="none" w:sz="0" w:space="0" w:color="auto"/>
      </w:divBdr>
    </w:div>
    <w:div w:id="1695571197">
      <w:bodyDiv w:val="1"/>
      <w:marLeft w:val="0"/>
      <w:marRight w:val="0"/>
      <w:marTop w:val="0"/>
      <w:marBottom w:val="0"/>
      <w:divBdr>
        <w:top w:val="none" w:sz="0" w:space="0" w:color="auto"/>
        <w:left w:val="none" w:sz="0" w:space="0" w:color="auto"/>
        <w:bottom w:val="none" w:sz="0" w:space="0" w:color="auto"/>
        <w:right w:val="none" w:sz="0" w:space="0" w:color="auto"/>
      </w:divBdr>
    </w:div>
    <w:div w:id="1701935065">
      <w:bodyDiv w:val="1"/>
      <w:marLeft w:val="0"/>
      <w:marRight w:val="0"/>
      <w:marTop w:val="0"/>
      <w:marBottom w:val="0"/>
      <w:divBdr>
        <w:top w:val="none" w:sz="0" w:space="0" w:color="auto"/>
        <w:left w:val="none" w:sz="0" w:space="0" w:color="auto"/>
        <w:bottom w:val="none" w:sz="0" w:space="0" w:color="auto"/>
        <w:right w:val="none" w:sz="0" w:space="0" w:color="auto"/>
      </w:divBdr>
    </w:div>
    <w:div w:id="1750349999">
      <w:bodyDiv w:val="1"/>
      <w:marLeft w:val="0"/>
      <w:marRight w:val="0"/>
      <w:marTop w:val="0"/>
      <w:marBottom w:val="0"/>
      <w:divBdr>
        <w:top w:val="none" w:sz="0" w:space="0" w:color="auto"/>
        <w:left w:val="none" w:sz="0" w:space="0" w:color="auto"/>
        <w:bottom w:val="none" w:sz="0" w:space="0" w:color="auto"/>
        <w:right w:val="none" w:sz="0" w:space="0" w:color="auto"/>
      </w:divBdr>
    </w:div>
    <w:div w:id="1768692446">
      <w:bodyDiv w:val="1"/>
      <w:marLeft w:val="0"/>
      <w:marRight w:val="0"/>
      <w:marTop w:val="0"/>
      <w:marBottom w:val="0"/>
      <w:divBdr>
        <w:top w:val="none" w:sz="0" w:space="0" w:color="auto"/>
        <w:left w:val="none" w:sz="0" w:space="0" w:color="auto"/>
        <w:bottom w:val="none" w:sz="0" w:space="0" w:color="auto"/>
        <w:right w:val="none" w:sz="0" w:space="0" w:color="auto"/>
      </w:divBdr>
    </w:div>
    <w:div w:id="1776438284">
      <w:bodyDiv w:val="1"/>
      <w:marLeft w:val="0"/>
      <w:marRight w:val="0"/>
      <w:marTop w:val="0"/>
      <w:marBottom w:val="0"/>
      <w:divBdr>
        <w:top w:val="none" w:sz="0" w:space="0" w:color="auto"/>
        <w:left w:val="none" w:sz="0" w:space="0" w:color="auto"/>
        <w:bottom w:val="none" w:sz="0" w:space="0" w:color="auto"/>
        <w:right w:val="none" w:sz="0" w:space="0" w:color="auto"/>
      </w:divBdr>
    </w:div>
    <w:div w:id="1860389467">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875195704">
      <w:bodyDiv w:val="1"/>
      <w:marLeft w:val="0"/>
      <w:marRight w:val="0"/>
      <w:marTop w:val="0"/>
      <w:marBottom w:val="0"/>
      <w:divBdr>
        <w:top w:val="none" w:sz="0" w:space="0" w:color="auto"/>
        <w:left w:val="none" w:sz="0" w:space="0" w:color="auto"/>
        <w:bottom w:val="none" w:sz="0" w:space="0" w:color="auto"/>
        <w:right w:val="none" w:sz="0" w:space="0" w:color="auto"/>
      </w:divBdr>
    </w:div>
    <w:div w:id="1915049521">
      <w:bodyDiv w:val="1"/>
      <w:marLeft w:val="0"/>
      <w:marRight w:val="0"/>
      <w:marTop w:val="0"/>
      <w:marBottom w:val="0"/>
      <w:divBdr>
        <w:top w:val="none" w:sz="0" w:space="0" w:color="auto"/>
        <w:left w:val="none" w:sz="0" w:space="0" w:color="auto"/>
        <w:bottom w:val="none" w:sz="0" w:space="0" w:color="auto"/>
        <w:right w:val="none" w:sz="0" w:space="0" w:color="auto"/>
      </w:divBdr>
    </w:div>
    <w:div w:id="1957177167">
      <w:bodyDiv w:val="1"/>
      <w:marLeft w:val="0"/>
      <w:marRight w:val="0"/>
      <w:marTop w:val="0"/>
      <w:marBottom w:val="0"/>
      <w:divBdr>
        <w:top w:val="none" w:sz="0" w:space="0" w:color="auto"/>
        <w:left w:val="none" w:sz="0" w:space="0" w:color="auto"/>
        <w:bottom w:val="none" w:sz="0" w:space="0" w:color="auto"/>
        <w:right w:val="none" w:sz="0" w:space="0" w:color="auto"/>
      </w:divBdr>
    </w:div>
    <w:div w:id="1976832177">
      <w:bodyDiv w:val="1"/>
      <w:marLeft w:val="0"/>
      <w:marRight w:val="0"/>
      <w:marTop w:val="0"/>
      <w:marBottom w:val="0"/>
      <w:divBdr>
        <w:top w:val="none" w:sz="0" w:space="0" w:color="auto"/>
        <w:left w:val="none" w:sz="0" w:space="0" w:color="auto"/>
        <w:bottom w:val="none" w:sz="0" w:space="0" w:color="auto"/>
        <w:right w:val="none" w:sz="0" w:space="0" w:color="auto"/>
      </w:divBdr>
    </w:div>
    <w:div w:id="1989741686">
      <w:bodyDiv w:val="1"/>
      <w:marLeft w:val="0"/>
      <w:marRight w:val="0"/>
      <w:marTop w:val="0"/>
      <w:marBottom w:val="0"/>
      <w:divBdr>
        <w:top w:val="none" w:sz="0" w:space="0" w:color="auto"/>
        <w:left w:val="none" w:sz="0" w:space="0" w:color="auto"/>
        <w:bottom w:val="none" w:sz="0" w:space="0" w:color="auto"/>
        <w:right w:val="none" w:sz="0" w:space="0" w:color="auto"/>
      </w:divBdr>
    </w:div>
    <w:div w:id="2020497530">
      <w:bodyDiv w:val="1"/>
      <w:marLeft w:val="0"/>
      <w:marRight w:val="0"/>
      <w:marTop w:val="0"/>
      <w:marBottom w:val="0"/>
      <w:divBdr>
        <w:top w:val="none" w:sz="0" w:space="0" w:color="auto"/>
        <w:left w:val="none" w:sz="0" w:space="0" w:color="auto"/>
        <w:bottom w:val="none" w:sz="0" w:space="0" w:color="auto"/>
        <w:right w:val="none" w:sz="0" w:space="0" w:color="auto"/>
      </w:divBdr>
    </w:div>
    <w:div w:id="2042590206">
      <w:bodyDiv w:val="1"/>
      <w:marLeft w:val="0"/>
      <w:marRight w:val="0"/>
      <w:marTop w:val="0"/>
      <w:marBottom w:val="0"/>
      <w:divBdr>
        <w:top w:val="none" w:sz="0" w:space="0" w:color="auto"/>
        <w:left w:val="none" w:sz="0" w:space="0" w:color="auto"/>
        <w:bottom w:val="none" w:sz="0" w:space="0" w:color="auto"/>
        <w:right w:val="none" w:sz="0" w:space="0" w:color="auto"/>
      </w:divBdr>
    </w:div>
    <w:div w:id="2088187111">
      <w:bodyDiv w:val="1"/>
      <w:marLeft w:val="0"/>
      <w:marRight w:val="0"/>
      <w:marTop w:val="0"/>
      <w:marBottom w:val="0"/>
      <w:divBdr>
        <w:top w:val="none" w:sz="0" w:space="0" w:color="auto"/>
        <w:left w:val="none" w:sz="0" w:space="0" w:color="auto"/>
        <w:bottom w:val="none" w:sz="0" w:space="0" w:color="auto"/>
        <w:right w:val="none" w:sz="0" w:space="0" w:color="auto"/>
      </w:divBdr>
    </w:div>
    <w:div w:id="2088794904">
      <w:bodyDiv w:val="1"/>
      <w:marLeft w:val="0"/>
      <w:marRight w:val="0"/>
      <w:marTop w:val="0"/>
      <w:marBottom w:val="0"/>
      <w:divBdr>
        <w:top w:val="none" w:sz="0" w:space="0" w:color="auto"/>
        <w:left w:val="none" w:sz="0" w:space="0" w:color="auto"/>
        <w:bottom w:val="none" w:sz="0" w:space="0" w:color="auto"/>
        <w:right w:val="none" w:sz="0" w:space="0" w:color="auto"/>
      </w:divBdr>
    </w:div>
    <w:div w:id="2100517656">
      <w:bodyDiv w:val="1"/>
      <w:marLeft w:val="0"/>
      <w:marRight w:val="0"/>
      <w:marTop w:val="0"/>
      <w:marBottom w:val="0"/>
      <w:divBdr>
        <w:top w:val="none" w:sz="0" w:space="0" w:color="auto"/>
        <w:left w:val="none" w:sz="0" w:space="0" w:color="auto"/>
        <w:bottom w:val="none" w:sz="0" w:space="0" w:color="auto"/>
        <w:right w:val="none" w:sz="0" w:space="0" w:color="auto"/>
      </w:divBdr>
    </w:div>
    <w:div w:id="21393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ment.nl/latest/news/2022/10/14/european-commission-extends-temporary-protection-directive" TargetMode="External"/><Relationship Id="rId13" Type="http://schemas.openxmlformats.org/officeDocument/2006/relationships/hyperlink" Target="https://www.consilium.europa.eu/en/policies/sanctions/restrictive-measures-against-russia-over-ukraine/sanctions-against-russia-explaine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tandfonline.com/doi/full/10.1080/13523260.2022.2099713"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ur-lex.europa.eu/legal-content/NL/TXT/?uri=LEGISSUM:accession_criteria_copenhague"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s://eur-lex.europa.eu/legal-content/EN/ALL/?uri=CELEX%3A22014A0529%2801%29"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ur-lex.europa.eu/legal-content/en/TXT/?uri=celex%3A32003L0109" TargetMode="External"/><Relationship Id="rId14" Type="http://schemas.openxmlformats.org/officeDocument/2006/relationships/hyperlink" Target="https://www.bloomberg.com/opinion/articles/2022-06-06/ukraine-war-sanctions-fatigue-is-next-obstacle-against-pu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Bosse</dc:creator>
  <cp:keywords/>
  <dc:description/>
  <cp:lastModifiedBy>Bosse, G (POLITICS)</cp:lastModifiedBy>
  <cp:revision>2</cp:revision>
  <dcterms:created xsi:type="dcterms:W3CDTF">2023-12-13T17:22:00Z</dcterms:created>
  <dcterms:modified xsi:type="dcterms:W3CDTF">2023-12-13T17:22:00Z</dcterms:modified>
</cp:coreProperties>
</file>